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0A10" w:rsidRPr="004A0A10" w:rsidRDefault="004A0A10" w:rsidP="004A0A10">
      <w:pPr>
        <w:spacing w:after="0" w:line="240" w:lineRule="auto"/>
        <w:rPr>
          <w:rFonts w:ascii="Times New Roman" w:eastAsia="Calibri" w:hAnsi="Times New Roman" w:cs="Times New Roman"/>
          <w:b/>
          <w:sz w:val="20"/>
          <w:szCs w:val="20"/>
          <w:lang w:val="en-US" w:eastAsia="pt-BR"/>
        </w:rPr>
      </w:pPr>
      <w:r w:rsidRPr="004A0A10">
        <w:rPr>
          <w:rFonts w:ascii="Times New Roman" w:eastAsia="Calibri" w:hAnsi="Times New Roman" w:cs="Times New Roman"/>
          <w:b/>
          <w:sz w:val="20"/>
          <w:szCs w:val="20"/>
          <w:lang w:val="en-US" w:eastAsia="pt-BR"/>
        </w:rPr>
        <w:t>Table 2 – Studies on prevalence of latent tuberculosis infection included in the systematic review and their main findings (n=52)</w:t>
      </w:r>
    </w:p>
    <w:tbl>
      <w:tblPr>
        <w:tblStyle w:val="Tabelacomgrade"/>
        <w:tblW w:w="5012" w:type="pct"/>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4"/>
        <w:gridCol w:w="990"/>
        <w:gridCol w:w="851"/>
        <w:gridCol w:w="994"/>
        <w:gridCol w:w="1561"/>
        <w:gridCol w:w="567"/>
        <w:gridCol w:w="567"/>
        <w:gridCol w:w="851"/>
        <w:gridCol w:w="851"/>
        <w:gridCol w:w="851"/>
        <w:gridCol w:w="854"/>
        <w:gridCol w:w="994"/>
        <w:gridCol w:w="708"/>
        <w:gridCol w:w="567"/>
        <w:gridCol w:w="851"/>
        <w:gridCol w:w="817"/>
      </w:tblGrid>
      <w:tr w:rsidR="00AD6F15" w:rsidRPr="009F01A3" w:rsidTr="009C09C1">
        <w:trPr>
          <w:trHeight w:val="415"/>
        </w:trPr>
        <w:tc>
          <w:tcPr>
            <w:tcW w:w="415" w:type="pct"/>
            <w:vMerge w:val="restart"/>
            <w:tcBorders>
              <w:top w:val="single" w:sz="4" w:space="0" w:color="auto"/>
              <w:bottom w:val="single" w:sz="4" w:space="0" w:color="auto"/>
            </w:tcBorders>
            <w:vAlign w:val="center"/>
          </w:tcPr>
          <w:p w:rsidR="00AD6F15" w:rsidRPr="009F01A3" w:rsidRDefault="00AD6F15" w:rsidP="00156143">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First Author</w:t>
            </w:r>
          </w:p>
        </w:tc>
        <w:tc>
          <w:tcPr>
            <w:tcW w:w="353" w:type="pct"/>
            <w:vMerge w:val="restart"/>
            <w:tcBorders>
              <w:top w:val="single" w:sz="4" w:space="0" w:color="auto"/>
              <w:bottom w:val="single" w:sz="4" w:space="0" w:color="auto"/>
            </w:tcBorders>
            <w:vAlign w:val="center"/>
          </w:tcPr>
          <w:p w:rsidR="00AD6F15" w:rsidRPr="009F01A3" w:rsidRDefault="00AD6F15" w:rsidP="00156143">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Year of publication</w:t>
            </w:r>
          </w:p>
        </w:tc>
        <w:tc>
          <w:tcPr>
            <w:tcW w:w="303" w:type="pct"/>
            <w:vMerge w:val="restart"/>
            <w:tcBorders>
              <w:top w:val="single" w:sz="4" w:space="0" w:color="auto"/>
              <w:bottom w:val="single" w:sz="4" w:space="0" w:color="auto"/>
            </w:tcBorders>
            <w:vAlign w:val="center"/>
          </w:tcPr>
          <w:p w:rsidR="00AD6F15" w:rsidRPr="009F01A3" w:rsidRDefault="00AD6F15" w:rsidP="00156143">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Country of study</w:t>
            </w:r>
          </w:p>
        </w:tc>
        <w:tc>
          <w:tcPr>
            <w:tcW w:w="354" w:type="pct"/>
            <w:vMerge w:val="restart"/>
            <w:tcBorders>
              <w:top w:val="single" w:sz="4" w:space="0" w:color="auto"/>
              <w:bottom w:val="single" w:sz="4" w:space="0" w:color="auto"/>
            </w:tcBorders>
            <w:vAlign w:val="center"/>
          </w:tcPr>
          <w:p w:rsidR="00AD6F15" w:rsidRPr="009F01A3" w:rsidRDefault="00AD6F15" w:rsidP="00156143">
            <w:pPr>
              <w:contextualSpacing/>
              <w:jc w:val="center"/>
              <w:rPr>
                <w:rFonts w:ascii="Times New Roman" w:eastAsia="Times New Roman" w:hAnsi="Times New Roman" w:cs="Times New Roman"/>
                <w:b/>
                <w:bCs/>
                <w:color w:val="000000"/>
                <w:sz w:val="16"/>
                <w:szCs w:val="16"/>
                <w:lang w:val="en-US" w:eastAsia="pt-BR"/>
              </w:rPr>
            </w:pPr>
            <w:r w:rsidRPr="009F01A3">
              <w:rPr>
                <w:rFonts w:ascii="Times New Roman" w:hAnsi="Times New Roman" w:cs="Times New Roman"/>
                <w:b/>
                <w:bCs/>
                <w:sz w:val="16"/>
                <w:szCs w:val="16"/>
                <w:lang w:val="en-US"/>
              </w:rPr>
              <w:t>Population</w:t>
            </w:r>
          </w:p>
        </w:tc>
        <w:tc>
          <w:tcPr>
            <w:tcW w:w="556" w:type="pct"/>
            <w:vMerge w:val="restart"/>
            <w:tcBorders>
              <w:top w:val="single" w:sz="4" w:space="0" w:color="auto"/>
              <w:bottom w:val="single" w:sz="4" w:space="0" w:color="auto"/>
            </w:tcBorders>
            <w:vAlign w:val="center"/>
          </w:tcPr>
          <w:p w:rsidR="00AD6F15" w:rsidRPr="009F01A3" w:rsidRDefault="00AD6F15" w:rsidP="00156143">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color w:val="000000"/>
                <w:sz w:val="16"/>
                <w:szCs w:val="16"/>
                <w:lang w:val="en-US" w:eastAsia="pt-BR"/>
              </w:rPr>
              <w:t>Country / Region of origin</w:t>
            </w:r>
          </w:p>
        </w:tc>
        <w:tc>
          <w:tcPr>
            <w:tcW w:w="404" w:type="pct"/>
            <w:gridSpan w:val="2"/>
            <w:vMerge w:val="restart"/>
            <w:tcBorders>
              <w:top w:val="single" w:sz="4" w:space="0" w:color="auto"/>
            </w:tcBorders>
            <w:vAlign w:val="center"/>
          </w:tcPr>
          <w:p w:rsidR="00AD6F15" w:rsidRPr="009F01A3" w:rsidRDefault="00AD6F15" w:rsidP="00156143">
            <w:pPr>
              <w:contextualSpacing/>
              <w:jc w:val="center"/>
              <w:rPr>
                <w:rFonts w:ascii="Times New Roman" w:eastAsia="Calibri" w:hAnsi="Times New Roman" w:cs="Times New Roman"/>
                <w:sz w:val="16"/>
                <w:szCs w:val="16"/>
                <w:lang w:val="en-US" w:eastAsia="pt-BR"/>
              </w:rPr>
            </w:pPr>
            <w:r w:rsidRPr="009F01A3">
              <w:rPr>
                <w:rFonts w:ascii="Times New Roman" w:eastAsia="Times New Roman" w:hAnsi="Times New Roman" w:cs="Times New Roman"/>
                <w:b/>
                <w:bCs/>
                <w:sz w:val="16"/>
                <w:szCs w:val="16"/>
                <w:lang w:val="en-US" w:eastAsia="pt-BR"/>
              </w:rPr>
              <w:t>Period of data collection</w:t>
            </w:r>
          </w:p>
        </w:tc>
        <w:tc>
          <w:tcPr>
            <w:tcW w:w="303" w:type="pct"/>
            <w:vMerge w:val="restart"/>
            <w:tcBorders>
              <w:top w:val="single" w:sz="4" w:space="0" w:color="auto"/>
              <w:bottom w:val="single" w:sz="4" w:space="0" w:color="auto"/>
            </w:tcBorders>
            <w:vAlign w:val="center"/>
          </w:tcPr>
          <w:p w:rsidR="00AD6F15" w:rsidRPr="009F01A3" w:rsidRDefault="00AD6F15"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color w:val="000000"/>
                <w:sz w:val="16"/>
                <w:szCs w:val="16"/>
                <w:lang w:val="en-US" w:eastAsia="pt-BR"/>
              </w:rPr>
              <w:t>Setting</w:t>
            </w:r>
          </w:p>
        </w:tc>
        <w:tc>
          <w:tcPr>
            <w:tcW w:w="303" w:type="pct"/>
            <w:vMerge w:val="restart"/>
            <w:tcBorders>
              <w:top w:val="single" w:sz="4" w:space="0" w:color="auto"/>
              <w:bottom w:val="single" w:sz="4" w:space="0" w:color="auto"/>
            </w:tcBorders>
            <w:vAlign w:val="center"/>
          </w:tcPr>
          <w:p w:rsidR="00AD6F15" w:rsidRPr="009F01A3" w:rsidRDefault="00AD6F15"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Sample*</w:t>
            </w:r>
          </w:p>
          <w:p w:rsidR="00AD6F15" w:rsidRPr="009F01A3" w:rsidRDefault="00AD6F15"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(n)</w:t>
            </w:r>
          </w:p>
        </w:tc>
        <w:tc>
          <w:tcPr>
            <w:tcW w:w="303" w:type="pct"/>
            <w:vMerge w:val="restart"/>
            <w:tcBorders>
              <w:top w:val="single" w:sz="4" w:space="0" w:color="auto"/>
              <w:bottom w:val="single" w:sz="4" w:space="0" w:color="auto"/>
            </w:tcBorders>
            <w:vAlign w:val="center"/>
          </w:tcPr>
          <w:p w:rsidR="00AD6F15" w:rsidRPr="009F01A3" w:rsidRDefault="00AD6F15" w:rsidP="00156143">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Women</w:t>
            </w:r>
          </w:p>
          <w:p w:rsidR="00AD6F15" w:rsidRPr="009F01A3" w:rsidRDefault="00AD6F15"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w:t>
            </w:r>
          </w:p>
        </w:tc>
        <w:tc>
          <w:tcPr>
            <w:tcW w:w="304" w:type="pct"/>
            <w:vMerge w:val="restart"/>
            <w:tcBorders>
              <w:top w:val="single" w:sz="4" w:space="0" w:color="auto"/>
              <w:bottom w:val="single" w:sz="4" w:space="0" w:color="auto"/>
            </w:tcBorders>
            <w:vAlign w:val="center"/>
          </w:tcPr>
          <w:p w:rsidR="00AD6F15" w:rsidRPr="009F01A3" w:rsidRDefault="00AD6F15"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Study design</w:t>
            </w:r>
          </w:p>
        </w:tc>
        <w:tc>
          <w:tcPr>
            <w:tcW w:w="354" w:type="pct"/>
            <w:vMerge w:val="restart"/>
            <w:tcBorders>
              <w:top w:val="single" w:sz="4" w:space="0" w:color="auto"/>
              <w:bottom w:val="single" w:sz="4" w:space="0" w:color="auto"/>
            </w:tcBorders>
            <w:vAlign w:val="center"/>
          </w:tcPr>
          <w:p w:rsidR="00AD6F15" w:rsidRPr="009F01A3" w:rsidRDefault="00AD6F15" w:rsidP="00156143">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Diagnostic test*</w:t>
            </w:r>
          </w:p>
        </w:tc>
        <w:tc>
          <w:tcPr>
            <w:tcW w:w="252" w:type="pct"/>
            <w:vMerge w:val="restart"/>
            <w:tcBorders>
              <w:top w:val="single" w:sz="4" w:space="0" w:color="auto"/>
              <w:bottom w:val="single" w:sz="4" w:space="0" w:color="auto"/>
            </w:tcBorders>
            <w:vAlign w:val="center"/>
          </w:tcPr>
          <w:p w:rsidR="00AD6F15" w:rsidRPr="009F01A3" w:rsidRDefault="00AD6F15" w:rsidP="00156143">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TST cutoff point (mm)</w:t>
            </w:r>
          </w:p>
        </w:tc>
        <w:tc>
          <w:tcPr>
            <w:tcW w:w="796" w:type="pct"/>
            <w:gridSpan w:val="3"/>
            <w:tcBorders>
              <w:top w:val="single" w:sz="4" w:space="0" w:color="auto"/>
            </w:tcBorders>
            <w:vAlign w:val="center"/>
          </w:tcPr>
          <w:p w:rsidR="00AD6F15" w:rsidRPr="009F01A3" w:rsidRDefault="00AD6F15" w:rsidP="00156143">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Prevalence</w:t>
            </w:r>
          </w:p>
          <w:p w:rsidR="00AD6F15" w:rsidRPr="009F01A3" w:rsidRDefault="00AD6F15"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w:t>
            </w:r>
          </w:p>
        </w:tc>
      </w:tr>
      <w:tr w:rsidR="009C09C1" w:rsidRPr="009F01A3" w:rsidTr="009C09C1">
        <w:trPr>
          <w:trHeight w:val="414"/>
        </w:trPr>
        <w:tc>
          <w:tcPr>
            <w:tcW w:w="415" w:type="pct"/>
            <w:vMerge/>
            <w:tcBorders>
              <w:bottom w:val="single" w:sz="4" w:space="0" w:color="auto"/>
            </w:tcBorders>
            <w:vAlign w:val="center"/>
          </w:tcPr>
          <w:p w:rsidR="009C09C1" w:rsidRPr="009F01A3" w:rsidRDefault="009C09C1" w:rsidP="00156143">
            <w:pPr>
              <w:contextualSpacing/>
              <w:jc w:val="center"/>
              <w:rPr>
                <w:rFonts w:ascii="Times New Roman" w:eastAsia="Times New Roman" w:hAnsi="Times New Roman" w:cs="Times New Roman"/>
                <w:b/>
                <w:bCs/>
                <w:sz w:val="16"/>
                <w:szCs w:val="16"/>
                <w:lang w:val="en-US" w:eastAsia="pt-BR"/>
              </w:rPr>
            </w:pPr>
          </w:p>
        </w:tc>
        <w:tc>
          <w:tcPr>
            <w:tcW w:w="353" w:type="pct"/>
            <w:vMerge/>
            <w:tcBorders>
              <w:bottom w:val="single" w:sz="4" w:space="0" w:color="auto"/>
            </w:tcBorders>
            <w:vAlign w:val="center"/>
          </w:tcPr>
          <w:p w:rsidR="009C09C1" w:rsidRPr="009F01A3" w:rsidRDefault="009C09C1" w:rsidP="00156143">
            <w:pPr>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9C09C1" w:rsidRPr="009F01A3" w:rsidRDefault="009C09C1" w:rsidP="00156143">
            <w:pPr>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vAlign w:val="center"/>
          </w:tcPr>
          <w:p w:rsidR="009C09C1" w:rsidRPr="009F01A3" w:rsidRDefault="009C09C1" w:rsidP="00156143">
            <w:pPr>
              <w:contextualSpacing/>
              <w:jc w:val="center"/>
              <w:rPr>
                <w:rFonts w:ascii="Times New Roman" w:hAnsi="Times New Roman" w:cs="Times New Roman"/>
                <w:b/>
                <w:bCs/>
                <w:sz w:val="16"/>
                <w:szCs w:val="16"/>
                <w:lang w:val="en-US"/>
              </w:rPr>
            </w:pPr>
          </w:p>
        </w:tc>
        <w:tc>
          <w:tcPr>
            <w:tcW w:w="556" w:type="pct"/>
            <w:vMerge/>
            <w:tcBorders>
              <w:bottom w:val="single" w:sz="4" w:space="0" w:color="auto"/>
            </w:tcBorders>
            <w:vAlign w:val="center"/>
          </w:tcPr>
          <w:p w:rsidR="009C09C1" w:rsidRPr="009F01A3" w:rsidRDefault="009C09C1" w:rsidP="00156143">
            <w:pPr>
              <w:contextualSpacing/>
              <w:jc w:val="center"/>
              <w:rPr>
                <w:rFonts w:ascii="Times New Roman" w:eastAsia="Times New Roman" w:hAnsi="Times New Roman" w:cs="Times New Roman"/>
                <w:b/>
                <w:bCs/>
                <w:color w:val="000000"/>
                <w:sz w:val="16"/>
                <w:szCs w:val="16"/>
                <w:lang w:val="en-US" w:eastAsia="pt-BR"/>
              </w:rPr>
            </w:pPr>
          </w:p>
        </w:tc>
        <w:tc>
          <w:tcPr>
            <w:tcW w:w="404" w:type="pct"/>
            <w:gridSpan w:val="2"/>
            <w:vMerge/>
            <w:vAlign w:val="center"/>
          </w:tcPr>
          <w:p w:rsidR="009C09C1" w:rsidRPr="009F01A3" w:rsidRDefault="009C09C1" w:rsidP="00156143">
            <w:pPr>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9C09C1" w:rsidRPr="009F01A3" w:rsidRDefault="009C09C1" w:rsidP="00156143">
            <w:pPr>
              <w:autoSpaceDE w:val="0"/>
              <w:autoSpaceDN w:val="0"/>
              <w:adjustRightInd w:val="0"/>
              <w:contextualSpacing/>
              <w:jc w:val="center"/>
              <w:rPr>
                <w:rFonts w:ascii="Times New Roman" w:eastAsia="Times New Roman" w:hAnsi="Times New Roman" w:cs="Times New Roman"/>
                <w:b/>
                <w:bCs/>
                <w:color w:val="000000"/>
                <w:sz w:val="16"/>
                <w:szCs w:val="16"/>
                <w:lang w:val="en-US" w:eastAsia="pt-BR"/>
              </w:rPr>
            </w:pPr>
          </w:p>
        </w:tc>
        <w:tc>
          <w:tcPr>
            <w:tcW w:w="303" w:type="pct"/>
            <w:vMerge/>
            <w:tcBorders>
              <w:bottom w:val="single" w:sz="4" w:space="0" w:color="auto"/>
            </w:tcBorders>
            <w:vAlign w:val="center"/>
          </w:tcPr>
          <w:p w:rsidR="009C09C1" w:rsidRPr="009F01A3" w:rsidRDefault="009C09C1"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9C09C1" w:rsidRPr="009F01A3" w:rsidRDefault="009C09C1" w:rsidP="00156143">
            <w:pPr>
              <w:autoSpaceDE w:val="0"/>
              <w:autoSpaceDN w:val="0"/>
              <w:adjustRightInd w:val="0"/>
              <w:contextualSpacing/>
              <w:jc w:val="center"/>
              <w:rPr>
                <w:rFonts w:ascii="Times New Roman" w:hAnsi="Times New Roman" w:cs="Times New Roman"/>
                <w:b/>
                <w:bCs/>
                <w:sz w:val="16"/>
                <w:szCs w:val="16"/>
                <w:lang w:val="en-US"/>
              </w:rPr>
            </w:pPr>
          </w:p>
        </w:tc>
        <w:tc>
          <w:tcPr>
            <w:tcW w:w="304" w:type="pct"/>
            <w:vMerge/>
            <w:tcBorders>
              <w:bottom w:val="single" w:sz="4" w:space="0" w:color="auto"/>
            </w:tcBorders>
            <w:vAlign w:val="center"/>
          </w:tcPr>
          <w:p w:rsidR="009C09C1" w:rsidRPr="009F01A3" w:rsidRDefault="009C09C1"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vAlign w:val="center"/>
          </w:tcPr>
          <w:p w:rsidR="009C09C1" w:rsidRPr="009F01A3" w:rsidRDefault="009C09C1" w:rsidP="00156143">
            <w:pPr>
              <w:autoSpaceDE w:val="0"/>
              <w:autoSpaceDN w:val="0"/>
              <w:adjustRightInd w:val="0"/>
              <w:contextualSpacing/>
              <w:jc w:val="center"/>
              <w:rPr>
                <w:rFonts w:ascii="Times New Roman" w:hAnsi="Times New Roman" w:cs="Times New Roman"/>
                <w:b/>
                <w:bCs/>
                <w:sz w:val="16"/>
                <w:szCs w:val="16"/>
                <w:lang w:val="en-US"/>
              </w:rPr>
            </w:pPr>
          </w:p>
        </w:tc>
        <w:tc>
          <w:tcPr>
            <w:tcW w:w="252" w:type="pct"/>
            <w:vMerge/>
            <w:tcBorders>
              <w:top w:val="single" w:sz="4" w:space="0" w:color="auto"/>
              <w:bottom w:val="single" w:sz="4" w:space="0" w:color="auto"/>
            </w:tcBorders>
            <w:vAlign w:val="center"/>
          </w:tcPr>
          <w:p w:rsidR="009C09C1" w:rsidRPr="009F01A3" w:rsidRDefault="009C09C1" w:rsidP="00156143">
            <w:pPr>
              <w:autoSpaceDE w:val="0"/>
              <w:autoSpaceDN w:val="0"/>
              <w:adjustRightInd w:val="0"/>
              <w:contextualSpacing/>
              <w:jc w:val="center"/>
              <w:rPr>
                <w:rFonts w:ascii="Times New Roman" w:hAnsi="Times New Roman" w:cs="Times New Roman"/>
                <w:b/>
                <w:bCs/>
                <w:sz w:val="16"/>
                <w:szCs w:val="16"/>
                <w:lang w:val="en-US"/>
              </w:rPr>
            </w:pPr>
          </w:p>
        </w:tc>
        <w:tc>
          <w:tcPr>
            <w:tcW w:w="202" w:type="pct"/>
            <w:vMerge w:val="restart"/>
            <w:tcBorders>
              <w:bottom w:val="single" w:sz="4" w:space="0" w:color="auto"/>
            </w:tcBorders>
            <w:vAlign w:val="center"/>
          </w:tcPr>
          <w:p w:rsidR="009C09C1" w:rsidRPr="009F01A3" w:rsidRDefault="009C09C1"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Men</w:t>
            </w:r>
          </w:p>
        </w:tc>
        <w:tc>
          <w:tcPr>
            <w:tcW w:w="303" w:type="pct"/>
            <w:vMerge w:val="restart"/>
            <w:tcBorders>
              <w:bottom w:val="single" w:sz="4" w:space="0" w:color="auto"/>
            </w:tcBorders>
            <w:vAlign w:val="center"/>
          </w:tcPr>
          <w:p w:rsidR="009C09C1" w:rsidRPr="009F01A3" w:rsidRDefault="009C09C1"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Women</w:t>
            </w:r>
          </w:p>
        </w:tc>
        <w:tc>
          <w:tcPr>
            <w:tcW w:w="291" w:type="pct"/>
            <w:vMerge w:val="restart"/>
            <w:tcBorders>
              <w:bottom w:val="single" w:sz="4" w:space="0" w:color="auto"/>
            </w:tcBorders>
            <w:vAlign w:val="center"/>
          </w:tcPr>
          <w:p w:rsidR="009C09C1" w:rsidRPr="009F01A3" w:rsidRDefault="009C09C1" w:rsidP="0015614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Overall</w:t>
            </w:r>
          </w:p>
        </w:tc>
      </w:tr>
      <w:tr w:rsidR="009C09C1" w:rsidRPr="009F01A3" w:rsidTr="009C09C1">
        <w:trPr>
          <w:trHeight w:val="64"/>
        </w:trPr>
        <w:tc>
          <w:tcPr>
            <w:tcW w:w="415" w:type="pct"/>
            <w:vMerge/>
            <w:tcBorders>
              <w:bottom w:val="single" w:sz="4" w:space="0" w:color="auto"/>
            </w:tcBorders>
            <w:vAlign w:val="center"/>
          </w:tcPr>
          <w:p w:rsidR="009C09C1" w:rsidRPr="009F01A3" w:rsidRDefault="009C09C1" w:rsidP="009F01A3">
            <w:pPr>
              <w:contextualSpacing/>
              <w:jc w:val="center"/>
              <w:rPr>
                <w:rFonts w:ascii="Times New Roman" w:eastAsia="Times New Roman" w:hAnsi="Times New Roman" w:cs="Times New Roman"/>
                <w:b/>
                <w:bCs/>
                <w:sz w:val="16"/>
                <w:szCs w:val="16"/>
                <w:lang w:val="en-US" w:eastAsia="pt-BR"/>
              </w:rPr>
            </w:pPr>
          </w:p>
        </w:tc>
        <w:tc>
          <w:tcPr>
            <w:tcW w:w="353" w:type="pct"/>
            <w:vMerge/>
            <w:tcBorders>
              <w:bottom w:val="single" w:sz="4" w:space="0" w:color="auto"/>
            </w:tcBorders>
            <w:vAlign w:val="center"/>
          </w:tcPr>
          <w:p w:rsidR="009C09C1" w:rsidRPr="009F01A3" w:rsidRDefault="009C09C1" w:rsidP="009F01A3">
            <w:pPr>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9C09C1" w:rsidRPr="009F01A3" w:rsidRDefault="009C09C1" w:rsidP="009F01A3">
            <w:pPr>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tcPr>
          <w:p w:rsidR="009C09C1" w:rsidRPr="009F01A3" w:rsidRDefault="009C09C1" w:rsidP="009F01A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556" w:type="pct"/>
            <w:vMerge/>
            <w:tcBorders>
              <w:bottom w:val="single" w:sz="4" w:space="0" w:color="auto"/>
            </w:tcBorders>
          </w:tcPr>
          <w:p w:rsidR="009C09C1" w:rsidRPr="009F01A3" w:rsidRDefault="009C09C1" w:rsidP="009F01A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202" w:type="pct"/>
            <w:tcBorders>
              <w:bottom w:val="single" w:sz="4" w:space="0" w:color="auto"/>
            </w:tcBorders>
            <w:vAlign w:val="center"/>
          </w:tcPr>
          <w:p w:rsidR="009C09C1" w:rsidRPr="009F01A3" w:rsidRDefault="009C09C1" w:rsidP="009F01A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Start</w:t>
            </w:r>
          </w:p>
        </w:tc>
        <w:tc>
          <w:tcPr>
            <w:tcW w:w="202" w:type="pct"/>
            <w:tcBorders>
              <w:bottom w:val="single" w:sz="4" w:space="0" w:color="auto"/>
            </w:tcBorders>
            <w:vAlign w:val="center"/>
          </w:tcPr>
          <w:p w:rsidR="009C09C1" w:rsidRPr="009F01A3" w:rsidRDefault="009C09C1" w:rsidP="009F01A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End</w:t>
            </w:r>
          </w:p>
        </w:tc>
        <w:tc>
          <w:tcPr>
            <w:tcW w:w="303" w:type="pct"/>
            <w:vMerge/>
            <w:tcBorders>
              <w:bottom w:val="single" w:sz="4" w:space="0" w:color="auto"/>
            </w:tcBorders>
            <w:vAlign w:val="center"/>
          </w:tcPr>
          <w:p w:rsidR="009C09C1" w:rsidRPr="009F01A3" w:rsidRDefault="009C09C1" w:rsidP="009F01A3">
            <w:pPr>
              <w:autoSpaceDE w:val="0"/>
              <w:autoSpaceDN w:val="0"/>
              <w:adjustRightInd w:val="0"/>
              <w:contextualSpacing/>
              <w:jc w:val="center"/>
              <w:rPr>
                <w:rFonts w:ascii="Times New Roman" w:eastAsia="Times New Roman" w:hAnsi="Times New Roman" w:cs="Times New Roman"/>
                <w:b/>
                <w:bCs/>
                <w:color w:val="000000"/>
                <w:sz w:val="16"/>
                <w:szCs w:val="16"/>
                <w:lang w:val="en-US" w:eastAsia="pt-BR"/>
              </w:rPr>
            </w:pPr>
          </w:p>
        </w:tc>
        <w:tc>
          <w:tcPr>
            <w:tcW w:w="303" w:type="pct"/>
            <w:vMerge/>
            <w:tcBorders>
              <w:bottom w:val="single" w:sz="4" w:space="0" w:color="auto"/>
            </w:tcBorders>
            <w:vAlign w:val="center"/>
          </w:tcPr>
          <w:p w:rsidR="009C09C1" w:rsidRPr="009F01A3" w:rsidRDefault="009C09C1" w:rsidP="009F01A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tcPr>
          <w:p w:rsidR="009C09C1" w:rsidRPr="009F01A3" w:rsidRDefault="009C09C1" w:rsidP="009F01A3">
            <w:pPr>
              <w:jc w:val="center"/>
              <w:rPr>
                <w:rFonts w:ascii="Times New Roman" w:hAnsi="Times New Roman" w:cs="Times New Roman"/>
                <w:sz w:val="16"/>
                <w:szCs w:val="16"/>
                <w:lang w:val="en-US"/>
              </w:rPr>
            </w:pPr>
          </w:p>
        </w:tc>
        <w:tc>
          <w:tcPr>
            <w:tcW w:w="304" w:type="pct"/>
            <w:vMerge/>
            <w:tcBorders>
              <w:bottom w:val="single" w:sz="4" w:space="0" w:color="auto"/>
            </w:tcBorders>
            <w:vAlign w:val="center"/>
          </w:tcPr>
          <w:p w:rsidR="009C09C1" w:rsidRPr="009F01A3" w:rsidRDefault="009C09C1" w:rsidP="009F01A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tcPr>
          <w:p w:rsidR="009C09C1" w:rsidRPr="009F01A3" w:rsidRDefault="009C09C1" w:rsidP="009F01A3">
            <w:pPr>
              <w:jc w:val="center"/>
              <w:rPr>
                <w:rFonts w:ascii="Times New Roman" w:hAnsi="Times New Roman" w:cs="Times New Roman"/>
                <w:sz w:val="16"/>
                <w:szCs w:val="16"/>
                <w:lang w:val="en-US"/>
              </w:rPr>
            </w:pPr>
          </w:p>
        </w:tc>
        <w:tc>
          <w:tcPr>
            <w:tcW w:w="252" w:type="pct"/>
            <w:vMerge/>
            <w:tcBorders>
              <w:top w:val="single" w:sz="4" w:space="0" w:color="auto"/>
              <w:bottom w:val="single" w:sz="4" w:space="0" w:color="auto"/>
            </w:tcBorders>
          </w:tcPr>
          <w:p w:rsidR="009C09C1" w:rsidRPr="009F01A3" w:rsidRDefault="009C09C1" w:rsidP="009F01A3">
            <w:pPr>
              <w:jc w:val="center"/>
              <w:rPr>
                <w:rFonts w:ascii="Times New Roman" w:hAnsi="Times New Roman" w:cs="Times New Roman"/>
                <w:sz w:val="16"/>
                <w:szCs w:val="16"/>
                <w:lang w:val="en-US"/>
              </w:rPr>
            </w:pPr>
          </w:p>
        </w:tc>
        <w:tc>
          <w:tcPr>
            <w:tcW w:w="202" w:type="pct"/>
            <w:vMerge/>
            <w:tcBorders>
              <w:bottom w:val="single" w:sz="4" w:space="0" w:color="auto"/>
            </w:tcBorders>
          </w:tcPr>
          <w:p w:rsidR="009C09C1" w:rsidRPr="009F01A3" w:rsidRDefault="009C09C1" w:rsidP="009F01A3">
            <w:pPr>
              <w:jc w:val="center"/>
              <w:rPr>
                <w:rFonts w:ascii="Times New Roman" w:hAnsi="Times New Roman" w:cs="Times New Roman"/>
                <w:color w:val="000000"/>
                <w:sz w:val="16"/>
                <w:szCs w:val="16"/>
                <w:lang w:val="en-US"/>
              </w:rPr>
            </w:pPr>
          </w:p>
        </w:tc>
        <w:tc>
          <w:tcPr>
            <w:tcW w:w="303" w:type="pct"/>
            <w:vMerge/>
            <w:tcBorders>
              <w:bottom w:val="single" w:sz="4" w:space="0" w:color="auto"/>
            </w:tcBorders>
          </w:tcPr>
          <w:p w:rsidR="009C09C1" w:rsidRPr="009F01A3" w:rsidRDefault="009C09C1" w:rsidP="009F01A3">
            <w:pPr>
              <w:jc w:val="center"/>
              <w:rPr>
                <w:rFonts w:ascii="Times New Roman" w:hAnsi="Times New Roman" w:cs="Times New Roman"/>
                <w:color w:val="000000"/>
                <w:sz w:val="16"/>
                <w:szCs w:val="16"/>
                <w:lang w:val="en-US"/>
              </w:rPr>
            </w:pPr>
          </w:p>
        </w:tc>
        <w:tc>
          <w:tcPr>
            <w:tcW w:w="291" w:type="pct"/>
            <w:vMerge/>
            <w:tcBorders>
              <w:bottom w:val="single" w:sz="4" w:space="0" w:color="auto"/>
            </w:tcBorders>
          </w:tcPr>
          <w:p w:rsidR="009C09C1" w:rsidRPr="009F01A3" w:rsidRDefault="009C09C1" w:rsidP="009F01A3">
            <w:pPr>
              <w:jc w:val="center"/>
              <w:rPr>
                <w:rFonts w:ascii="Times New Roman" w:hAnsi="Times New Roman" w:cs="Times New Roman"/>
                <w:color w:val="000000"/>
                <w:sz w:val="16"/>
                <w:szCs w:val="16"/>
                <w:lang w:val="en-US"/>
              </w:rPr>
            </w:pPr>
          </w:p>
        </w:tc>
      </w:tr>
      <w:tr w:rsidR="00AD6F15" w:rsidRPr="009F01A3" w:rsidTr="009C09C1">
        <w:trPr>
          <w:trHeight w:val="96"/>
        </w:trPr>
        <w:tc>
          <w:tcPr>
            <w:tcW w:w="415" w:type="pct"/>
            <w:tcBorders>
              <w:top w:val="single" w:sz="4" w:space="0" w:color="auto"/>
            </w:tcBorders>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 xml:space="preserve">Choi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gg90gkm41","properties":{"formattedCitation":"(6)","plainCitation":"(6)","noteIndex":0},"citationItems":[{"id":"mvNZPZfg/MShom8c8","uris":["http://zotero.org/users/local/lLjYRh4M/items/AXD3ZPGD"],"uri":["http://zotero.org/users/local/lLjYRh4M/items/AXD3ZPGD"],"itemData":{"id":16,"type":"article-journal","title":"Tuberculosis among dislocated North Koreans entering Republic of Korea since 1999","container-title":"Journal of Korean Medical Science","page":"963-967","volume":"22","issue":"6","abstract":"The collapse of North Korea's public health system has increased the development of tuberculosis (TB) in its populace. This study investigated the prevalence of active and latent TB infection (LTBI) in such people who have settled in the Republic of Korea since 1999. From 1999 to August 2006, 7,722 dislocated North Koreans entered the Republic of Korea and all were screened immediately for active TB. Demographic and clinical characteristics were reviewed from the official records of the Settlement Support Office for Dislocated North Koreans, based in the Ministry of Unification. Of 7,722 participants, 87 (1.13%) were diagnosed with active TB from 1999 to August 2006. Of these, 78 (90%) had pulmonary TB. Checking for the presence of a Bacille Calmette-Guerin (BCG) scar and tuberculin skin test has been performed in all dislocated North Koreans since November 2005. Of 1,112 participants, BCG vaccination scars were found in 67.4%. The tuberculin-positive rate using two tuberculin unit doses of the purified protein derivative RT23 (&gt;10 mm in diameter) was 81.5%. The prevalence of active TB and LTBI in dislocated North Koreans was high. Because this group bears a disproportionate burden of TB, we need to initiate a specific control programme and to plan for the impact of this disease in the Republic of Korea. Copyright © The Korean Academy of Medical Sciences.","ISSN":"1011-8934","shortTitle":"Tuberculosis among dislocated North Koreans entering Republic of Korea since 1999","author":[{"family":"Choi","given":"C. M."},{"family":"June","given":"J. H."},{"family":"Kang","given":"C. I."},{"family":"Park","given":"J. T."},{"family":"Oh","given":"S. Y."},{"family":"Lee","given":"J. B."},{"family":"Lee","given":"C. H."},{"family":"Yim","given":"J. J."},{"family":"Kim","given":"H. J."}],"issued":{"date-parts":[["2007"]]}}}],"schema":"https://github.com/citation-style-language/schema/raw/master/csl-citation.json"}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val="en-US" w:eastAsia="pt-BR"/>
              </w:rPr>
              <w:t>(6)</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Borders>
              <w:top w:val="single" w:sz="4" w:space="0" w:color="auto"/>
            </w:tcBorders>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2007</w:t>
            </w:r>
          </w:p>
        </w:tc>
        <w:tc>
          <w:tcPr>
            <w:tcW w:w="303" w:type="pct"/>
            <w:tcBorders>
              <w:top w:val="single" w:sz="4" w:space="0" w:color="auto"/>
            </w:tcBorders>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Republic of Korea</w:t>
            </w:r>
          </w:p>
        </w:tc>
        <w:tc>
          <w:tcPr>
            <w:tcW w:w="354" w:type="pct"/>
            <w:tcBorders>
              <w:top w:val="single" w:sz="4" w:space="0" w:color="auto"/>
            </w:tcBorders>
            <w:vAlign w:val="center"/>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Borders>
              <w:top w:val="single" w:sz="4" w:space="0" w:color="auto"/>
            </w:tcBorders>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North Korea</w:t>
            </w:r>
          </w:p>
        </w:tc>
        <w:tc>
          <w:tcPr>
            <w:tcW w:w="202" w:type="pct"/>
            <w:tcBorders>
              <w:top w:val="single" w:sz="4" w:space="0" w:color="auto"/>
            </w:tcBorders>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1999</w:t>
            </w:r>
          </w:p>
        </w:tc>
        <w:tc>
          <w:tcPr>
            <w:tcW w:w="202" w:type="pct"/>
            <w:tcBorders>
              <w:top w:val="single" w:sz="4" w:space="0" w:color="auto"/>
            </w:tcBorders>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2006</w:t>
            </w:r>
          </w:p>
        </w:tc>
        <w:tc>
          <w:tcPr>
            <w:tcW w:w="303" w:type="pct"/>
            <w:tcBorders>
              <w:top w:val="single" w:sz="4" w:space="0" w:color="auto"/>
            </w:tcBorders>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Borders>
              <w:top w:val="single" w:sz="4" w:space="0" w:color="auto"/>
            </w:tcBorders>
          </w:tcPr>
          <w:p w:rsidR="00AD6F15" w:rsidRPr="009F01A3" w:rsidRDefault="00AD6F15" w:rsidP="00AD6F15">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1,112</w:t>
            </w:r>
          </w:p>
        </w:tc>
        <w:tc>
          <w:tcPr>
            <w:tcW w:w="303" w:type="pct"/>
            <w:tcBorders>
              <w:top w:val="single" w:sz="4" w:space="0" w:color="auto"/>
            </w:tcBorders>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63.4</w:t>
            </w:r>
          </w:p>
        </w:tc>
        <w:tc>
          <w:tcPr>
            <w:tcW w:w="304" w:type="pct"/>
            <w:tcBorders>
              <w:top w:val="single" w:sz="4" w:space="0" w:color="auto"/>
            </w:tcBorders>
          </w:tcPr>
          <w:p w:rsidR="00AD6F15" w:rsidRPr="009F01A3" w:rsidRDefault="00AD6F15" w:rsidP="00AD6F15">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Borders>
              <w:top w:val="single" w:sz="4" w:space="0" w:color="auto"/>
            </w:tcBorders>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Borders>
              <w:top w:val="single" w:sz="4" w:space="0" w:color="auto"/>
            </w:tcBorders>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Borders>
              <w:top w:val="single" w:sz="4" w:space="0" w:color="auto"/>
            </w:tcBorders>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Borders>
              <w:top w:val="single" w:sz="4" w:space="0" w:color="auto"/>
            </w:tcBorders>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Borders>
              <w:top w:val="single" w:sz="4" w:space="0" w:color="auto"/>
            </w:tcBorders>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81.47</w:t>
            </w:r>
          </w:p>
        </w:tc>
      </w:tr>
      <w:tr w:rsidR="00AD6F15" w:rsidRPr="009F01A3" w:rsidTr="009C09C1">
        <w:trPr>
          <w:trHeight w:val="96"/>
        </w:trPr>
        <w:tc>
          <w:tcPr>
            <w:tcW w:w="415"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 xml:space="preserve">Chaves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f8ad90nj3","properties":{"formattedCitation":"(77)","plainCitation":"(77)","noteIndex":0},"citationItems":[{"id":"mvNZPZfg/MKUl7SVe","uris":["http://zotero.org/users/local/lLjYRh4M/items/Q4S3VWTW"],"uri":["http://zotero.org/users/local/lLjYRh4M/items/Q4S3VWTW"],"itemData":{"id":14,"type":"article-journal","title":"Screening practices for infectious diseases among Burmese refugees in Australia","container-title":"Emerg Infect Dis","page":"1769-72","volume":"15","issue":"11","source":"NLM","archive_location":"19891864","abstract":"Increasing numbers of refugees from Burma (Myanmar) are resettling in Western countries. We performed a retrospective study of 156 Burmese refugees at an Australian teaching hospital. Of those tested, Helicobacter pylori infection affected 80%, latent tuberculosis 70%, vitamin D deficiency 37%, and strongyloidiasis 26%. Treating these diseases can prevent long-term illness.","DOI":"10.3201/eid1511.090777","ISSN":"1080-6040","shortTitle":"Screening practices for infectious diseases among Burmese refugees in Australia","journalAbbreviation":"Emerging infectious diseases","language":"eng","author":[{"family":"Chaves","given":"N. J."},{"family":"Gibney","given":"K. B."},{"family":"Leder","given":"K."},{"family":"O'Brien","given":"D. P."},{"family":"Marshall","given":"C."},{"family":"Biggs","given":"B. A."}],"issued":{"date-parts":[["2009",11]]}}}],"schema":"https://github.com/citation-style-language/schema/raw/master/csl-citation.json"}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(77)</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2009</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Australia</w:t>
            </w:r>
          </w:p>
        </w:tc>
        <w:tc>
          <w:tcPr>
            <w:tcW w:w="354" w:type="pct"/>
            <w:vAlign w:val="center"/>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Myanmar; Thailand</w:t>
            </w:r>
          </w:p>
        </w:tc>
        <w:tc>
          <w:tcPr>
            <w:tcW w:w="202"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2004</w:t>
            </w:r>
          </w:p>
        </w:tc>
        <w:tc>
          <w:tcPr>
            <w:tcW w:w="202"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2008</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Symptomatic</w:t>
            </w:r>
          </w:p>
        </w:tc>
        <w:tc>
          <w:tcPr>
            <w:tcW w:w="303" w:type="pct"/>
          </w:tcPr>
          <w:p w:rsidR="00AD6F15" w:rsidRPr="009F01A3" w:rsidRDefault="00AD6F15" w:rsidP="00AD6F15">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149</w:t>
            </w:r>
          </w:p>
        </w:tc>
        <w:tc>
          <w:tcPr>
            <w:tcW w:w="303"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48.7</w:t>
            </w:r>
          </w:p>
        </w:tc>
        <w:tc>
          <w:tcPr>
            <w:tcW w:w="304" w:type="pct"/>
          </w:tcPr>
          <w:p w:rsidR="00AD6F15" w:rsidRPr="009F01A3" w:rsidRDefault="00AD6F15" w:rsidP="00AD6F15">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70.47</w:t>
            </w:r>
          </w:p>
        </w:tc>
      </w:tr>
      <w:tr w:rsidR="00AD6F15" w:rsidRPr="009F01A3" w:rsidTr="009C09C1">
        <w:trPr>
          <w:trHeight w:val="96"/>
        </w:trPr>
        <w:tc>
          <w:tcPr>
            <w:tcW w:w="415"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 xml:space="preserve">Diel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10j8qjtqni","properties":{"formattedCitation":"(32)","plainCitation":"(32)","noteIndex":0},"citationItems":[{"id":"mvNZPZfg/gPorWQO2","uris":["http://zotero.org/users/local/lLjYRh4M/items/PBXEATIF"],"uri":["http://zotero.org/users/local/lLjYRh4M/items/PBXEATIF"],"itemData":{"id":17,"type":"article-journal","title":"Molecular epidemiology of tuberculosis among immigrants in Hamburg, Germany","container-title":"J Clin Microbiol","page":"2952-60","volume":"42","issue":"7","source":"NLM","archive_location":"15243044","abstract":"To study the characteristics of tuberculosis (TB) in foreign-born individuals living in Hamburg, Germany, and to discover in what way foreign-born individuals contribute to the incidence of TB in Hamburg, an in-depth epidemiological study was performed by a combination of classical and molecular methods. In total, 796 patients with TB were analyzed between 1997 and 2002 (88.7% of all patients with culture-positive TB in the study period). Of this total, 334 were foreign-born patients from 43 different countries. Of these, only 31 cases were identified as a consequence of the screening of 12,176 asylum seekers at entry. Of the foreign-born patients, 41.9% had been living in Germany for more than 5 years. On the basis of the IS6110 typing results for isolates from all patients, 246 patients (31%) were classified into 68 clusters, with each cluster containing from 2 to 38 patients. Among foreign-born individuals, 86 (26%) were represented in 40 clusters. In multivariate analyses, a previous history as a TB contact had the highest predictive risk for clustering among foreign-born patients, followed by drug addiction, alcohol dependence, being an asylum seeker, and unemployment. Epidemiological links verifying recent transmission could be confirmed for 39 of the 86 foreign-born members (45.3%) who formed a cluster, comprising 16 source patients and 23 directly infected patients. Of 2,227 previously known contacts of foreign-born patients subjected to traditional contact investigation, 14 foreign-born individuals (0.6%) subsequently contracted culture-confirmed TB, but only 9 transmissions could be confirmed by IS6110 typing (39.1% of the 23 confirmed fresh infections retrospectively confirmed by IS6110 typing). In conclusion, only a minority of TB cases among foreign-born individuals are detected by screening of asylum seekers or conventional contact tracing. Recent transmission does not play an important role in TB among immigrants in Hamburg.","DOI":"10.1128/jcm.42.7.2952-2960.2004","ISSN":"0095-1137 (Print) 0095-1137","shortTitle":"Molecular epidemiology of tuberculosis among immigrants in Hamburg, Germany","journalAbbreviation":"Journal of clinical microbiology","language":"eng","author":[{"family":"Diel","given":"R."},{"family":"Rusch-Gerdes","given":"S."},{"family":"Niemann","given":"S."}],"issued":{"date-parts":[["2004",7]]}}}],"schema":"https://github.com/citation-style-language/schema/raw/master/csl-citation.json"}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(32)</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2004</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Germany</w:t>
            </w:r>
          </w:p>
        </w:tc>
        <w:tc>
          <w:tcPr>
            <w:tcW w:w="354" w:type="pct"/>
            <w:vAlign w:val="center"/>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Asylum Seeker</w:t>
            </w:r>
          </w:p>
        </w:tc>
        <w:tc>
          <w:tcPr>
            <w:tcW w:w="556"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 xml:space="preserve">Afghanistan; Turkey; Iran; Burkina Faso; </w:t>
            </w:r>
            <w:r w:rsidRPr="009F01A3">
              <w:rPr>
                <w:rFonts w:ascii="Times New Roman" w:eastAsia="Times New Roman" w:hAnsi="Times New Roman" w:cs="Times New Roman"/>
                <w:sz w:val="16"/>
                <w:szCs w:val="16"/>
                <w:lang w:val="en-US" w:eastAsia="pt-BR"/>
              </w:rPr>
              <w:t>Socialist</w:t>
            </w:r>
            <w:r w:rsidRPr="009F01A3">
              <w:rPr>
                <w:rFonts w:ascii="Times New Roman" w:eastAsia="Calibri" w:hAnsi="Times New Roman" w:cs="Times New Roman"/>
                <w:color w:val="000000"/>
                <w:sz w:val="16"/>
                <w:szCs w:val="16"/>
                <w:lang w:val="en-US" w:eastAsia="pt-BR"/>
              </w:rPr>
              <w:t xml:space="preserve"> Federal Republic of Yugoslavia; Sierra Leone; Russia; Guinea; Togo</w:t>
            </w:r>
          </w:p>
        </w:tc>
        <w:tc>
          <w:tcPr>
            <w:tcW w:w="202"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1997</w:t>
            </w:r>
          </w:p>
        </w:tc>
        <w:tc>
          <w:tcPr>
            <w:tcW w:w="202"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2002</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Both</w:t>
            </w:r>
          </w:p>
        </w:tc>
        <w:tc>
          <w:tcPr>
            <w:tcW w:w="303" w:type="pct"/>
          </w:tcPr>
          <w:p w:rsidR="00AD6F15" w:rsidRPr="009F01A3" w:rsidRDefault="00AD6F15" w:rsidP="00AD6F15">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12,176</w:t>
            </w:r>
          </w:p>
        </w:tc>
        <w:tc>
          <w:tcPr>
            <w:tcW w:w="303"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304" w:type="pct"/>
          </w:tcPr>
          <w:p w:rsidR="00AD6F15" w:rsidRPr="009F01A3" w:rsidRDefault="00AD6F15" w:rsidP="00AD6F15">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202"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62.00</w:t>
            </w:r>
          </w:p>
        </w:tc>
      </w:tr>
      <w:tr w:rsidR="00AD6F15" w:rsidRPr="009F01A3" w:rsidTr="009C09C1">
        <w:trPr>
          <w:trHeight w:val="96"/>
        </w:trPr>
        <w:tc>
          <w:tcPr>
            <w:tcW w:w="415"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Tafuri</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e49m2nrnv","properties":{"formattedCitation":"(10)","plainCitation":"(10)","noteIndex":0},"citationItems":[{"id":"mvNZPZfg/WOB17TPp","uris":["http://zotero.org/users/local/lLjYRh4M/items/HV8TDP6P"],"uri":["http://zotero.org/users/local/lLjYRh4M/items/HV8TDP6P"],"itemData":{"id":91,"type":"article-journal","title":"Tuberculosis screening in migrant reception centers: results of a 2009 Italian survey","container-title":"Am J Infect Control","page":"495-9","volume":"39","issue":"6","source":"NLM","archive_location":"21570737","abstract":"BACKGROUND: Tuberculosis (TB) is a social disease that is common in immigrants who are forced to live in difficult circumstances. In Italy, the guidelines for preventing TB include X-ray screening and application of the Mantoux test for migrants from high-TB-endemic countries as soon as possible after admission to Italy. This article describes a field survey conducted in the reception center for asylum seekers in Bari Palese in southern Italy following the death of a center resident from pulmonary TB. METHODS: A Mantoux screening test, followed by chest X-ray, was carried out in March 2009 on 982 immigrants, representing 97.5% of the residents of the center. RESULTS: A positive Mantoux test result was seen in 60.7% of the residents screened. The chest X-rays were performed on 92.9% of cuti-positive patients and on cuti-negative patients who were recent contacts of the deceased TB case and/or with symptoms suspicious for TB. Eight residents were diagnosed with active TB (0.8% of residents), and 117 residents (11.9%) had TB sequelae. In our survey, the Mantoux test demonstrated 88% sensitivity, 17% specificity, and a positive predictive value of 1% for active TB. CONCLUSION: The survey results suggest that residents in asylum centers are a special type of immigrant. Specific risk factors, such as overcrowding, may expose these residents to a greater risk for infectious diseases.","DOI":"10.1016/j.ajic.2010.10.013","ISSN":"0196-6553","shortTitle":"Tuberculosis screening in migrant reception centers: results of a 2009 Italian survey","journalAbbreviation":"American journal of infection control","language":"eng","author":[{"family":"Tafuri","given":"S."},{"family":"Martinelli","given":"D."},{"family":"Melpignano","given":"L."},{"family":"Palma","given":"M.","non-dropping-particle":"de"},{"family":"Quarto","given":"M."},{"family":"Prato","given":"R."},{"family":"Germinario","given":"C."}],"issued":{"date-parts":[["2011",8]]}}}],"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(10)</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2011</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Italy</w:t>
            </w:r>
          </w:p>
        </w:tc>
        <w:tc>
          <w:tcPr>
            <w:tcW w:w="354" w:type="pct"/>
            <w:vAlign w:val="center"/>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Asylum Seeker</w:t>
            </w:r>
          </w:p>
        </w:tc>
        <w:tc>
          <w:tcPr>
            <w:tcW w:w="556" w:type="pct"/>
          </w:tcPr>
          <w:p w:rsidR="00AD6F15" w:rsidRPr="009F01A3" w:rsidRDefault="00AD6F15" w:rsidP="00AD6F15">
            <w:pPr>
              <w:rPr>
                <w:rFonts w:ascii="Times New Roman" w:eastAsia="Calibri" w:hAnsi="Times New Roman" w:cs="Times New Roman"/>
                <w:sz w:val="16"/>
                <w:szCs w:val="16"/>
                <w:lang w:eastAsia="pt-BR"/>
              </w:rPr>
            </w:pPr>
            <w:proofErr w:type="spellStart"/>
            <w:r w:rsidRPr="009F01A3">
              <w:rPr>
                <w:rFonts w:ascii="Times New Roman" w:eastAsia="Calibri" w:hAnsi="Times New Roman" w:cs="Times New Roman"/>
                <w:color w:val="000000"/>
                <w:sz w:val="16"/>
                <w:szCs w:val="16"/>
                <w:lang w:eastAsia="pt-BR"/>
              </w:rPr>
              <w:t>Asia</w:t>
            </w:r>
            <w:proofErr w:type="spellEnd"/>
            <w:r w:rsidRPr="009F01A3">
              <w:rPr>
                <w:rFonts w:ascii="Times New Roman" w:eastAsia="Calibri" w:hAnsi="Times New Roman" w:cs="Times New Roman"/>
                <w:color w:val="000000"/>
                <w:sz w:val="16"/>
                <w:szCs w:val="16"/>
                <w:lang w:eastAsia="pt-BR"/>
              </w:rPr>
              <w:t xml:space="preserve">; </w:t>
            </w:r>
            <w:proofErr w:type="spellStart"/>
            <w:r w:rsidRPr="009F01A3">
              <w:rPr>
                <w:rFonts w:ascii="Times New Roman" w:eastAsia="Calibri" w:hAnsi="Times New Roman" w:cs="Times New Roman"/>
                <w:color w:val="000000"/>
                <w:sz w:val="16"/>
                <w:szCs w:val="16"/>
                <w:lang w:eastAsia="pt-BR"/>
              </w:rPr>
              <w:t>Eritrea</w:t>
            </w:r>
            <w:proofErr w:type="spellEnd"/>
            <w:r w:rsidRPr="009F01A3">
              <w:rPr>
                <w:rFonts w:ascii="Times New Roman" w:eastAsia="Calibri" w:hAnsi="Times New Roman" w:cs="Times New Roman"/>
                <w:color w:val="000000"/>
                <w:sz w:val="16"/>
                <w:szCs w:val="16"/>
                <w:lang w:eastAsia="pt-BR"/>
              </w:rPr>
              <w:t xml:space="preserve">; Gambia; </w:t>
            </w:r>
            <w:proofErr w:type="spellStart"/>
            <w:r w:rsidRPr="009F01A3">
              <w:rPr>
                <w:rFonts w:ascii="Times New Roman" w:eastAsia="Calibri" w:hAnsi="Times New Roman" w:cs="Times New Roman"/>
                <w:color w:val="000000"/>
                <w:sz w:val="16"/>
                <w:szCs w:val="16"/>
                <w:lang w:eastAsia="pt-BR"/>
              </w:rPr>
              <w:t>Ghana</w:t>
            </w:r>
            <w:proofErr w:type="spellEnd"/>
            <w:r w:rsidRPr="009F01A3">
              <w:rPr>
                <w:rFonts w:ascii="Times New Roman" w:eastAsia="Calibri" w:hAnsi="Times New Roman" w:cs="Times New Roman"/>
                <w:color w:val="000000"/>
                <w:sz w:val="16"/>
                <w:szCs w:val="16"/>
                <w:lang w:eastAsia="pt-BR"/>
              </w:rPr>
              <w:t xml:space="preserve">; </w:t>
            </w:r>
            <w:proofErr w:type="spellStart"/>
            <w:r w:rsidRPr="009F01A3">
              <w:rPr>
                <w:rFonts w:ascii="Times New Roman" w:eastAsia="Calibri" w:hAnsi="Times New Roman" w:cs="Times New Roman"/>
                <w:color w:val="000000"/>
                <w:sz w:val="16"/>
                <w:szCs w:val="16"/>
                <w:lang w:eastAsia="pt-BR"/>
              </w:rPr>
              <w:t>Nigeria</w:t>
            </w:r>
            <w:proofErr w:type="spellEnd"/>
            <w:r w:rsidRPr="009F01A3">
              <w:rPr>
                <w:rFonts w:ascii="Times New Roman" w:eastAsia="Calibri" w:hAnsi="Times New Roman" w:cs="Times New Roman"/>
                <w:color w:val="000000"/>
                <w:sz w:val="16"/>
                <w:szCs w:val="16"/>
                <w:lang w:eastAsia="pt-BR"/>
              </w:rPr>
              <w:t xml:space="preserve">; North </w:t>
            </w:r>
            <w:proofErr w:type="spellStart"/>
            <w:r w:rsidRPr="009F01A3">
              <w:rPr>
                <w:rFonts w:ascii="Times New Roman" w:eastAsia="Calibri" w:hAnsi="Times New Roman" w:cs="Times New Roman"/>
                <w:color w:val="000000"/>
                <w:sz w:val="16"/>
                <w:szCs w:val="16"/>
                <w:lang w:eastAsia="pt-BR"/>
              </w:rPr>
              <w:t>Africa</w:t>
            </w:r>
            <w:proofErr w:type="spellEnd"/>
            <w:r w:rsidRPr="009F01A3">
              <w:rPr>
                <w:rFonts w:ascii="Times New Roman" w:eastAsia="Calibri" w:hAnsi="Times New Roman" w:cs="Times New Roman"/>
                <w:color w:val="000000"/>
                <w:sz w:val="16"/>
                <w:szCs w:val="16"/>
                <w:lang w:eastAsia="pt-BR"/>
              </w:rPr>
              <w:t xml:space="preserve">; </w:t>
            </w:r>
            <w:proofErr w:type="spellStart"/>
            <w:r w:rsidRPr="009F01A3">
              <w:rPr>
                <w:rFonts w:ascii="Times New Roman" w:eastAsia="Calibri" w:hAnsi="Times New Roman" w:cs="Times New Roman"/>
                <w:color w:val="000000"/>
                <w:sz w:val="16"/>
                <w:szCs w:val="16"/>
                <w:lang w:eastAsia="pt-BR"/>
              </w:rPr>
              <w:t>Somalia</w:t>
            </w:r>
            <w:proofErr w:type="spellEnd"/>
            <w:r w:rsidRPr="009F01A3">
              <w:rPr>
                <w:rFonts w:ascii="Times New Roman" w:eastAsia="Calibri" w:hAnsi="Times New Roman" w:cs="Times New Roman"/>
                <w:color w:val="000000"/>
                <w:sz w:val="16"/>
                <w:szCs w:val="16"/>
                <w:lang w:eastAsia="pt-BR"/>
              </w:rPr>
              <w:t xml:space="preserve">; </w:t>
            </w:r>
            <w:proofErr w:type="spellStart"/>
            <w:r w:rsidRPr="009F01A3">
              <w:rPr>
                <w:rFonts w:ascii="Times New Roman" w:eastAsia="Calibri" w:hAnsi="Times New Roman" w:cs="Times New Roman"/>
                <w:color w:val="000000"/>
                <w:sz w:val="16"/>
                <w:szCs w:val="16"/>
                <w:lang w:eastAsia="pt-BR"/>
              </w:rPr>
              <w:t>Tunisia</w:t>
            </w:r>
            <w:proofErr w:type="spellEnd"/>
          </w:p>
        </w:tc>
        <w:tc>
          <w:tcPr>
            <w:tcW w:w="202"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2009</w:t>
            </w:r>
          </w:p>
        </w:tc>
        <w:tc>
          <w:tcPr>
            <w:tcW w:w="202"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2009</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AD6F15" w:rsidRPr="009F01A3" w:rsidRDefault="00AD6F15" w:rsidP="00AD6F15">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982</w:t>
            </w:r>
          </w:p>
        </w:tc>
        <w:tc>
          <w:tcPr>
            <w:tcW w:w="303"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14.4</w:t>
            </w:r>
          </w:p>
        </w:tc>
        <w:tc>
          <w:tcPr>
            <w:tcW w:w="304" w:type="pct"/>
          </w:tcPr>
          <w:p w:rsidR="00AD6F15" w:rsidRPr="009F01A3" w:rsidRDefault="00AD6F15" w:rsidP="00AD6F15">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63.1</w:t>
            </w:r>
          </w:p>
        </w:tc>
        <w:tc>
          <w:tcPr>
            <w:tcW w:w="303"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46.2</w:t>
            </w:r>
          </w:p>
        </w:tc>
        <w:tc>
          <w:tcPr>
            <w:tcW w:w="291"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60.69</w:t>
            </w:r>
          </w:p>
        </w:tc>
      </w:tr>
      <w:tr w:rsidR="00AD6F15" w:rsidRPr="009F01A3" w:rsidTr="009C09C1">
        <w:trPr>
          <w:trHeight w:val="96"/>
        </w:trPr>
        <w:tc>
          <w:tcPr>
            <w:tcW w:w="415"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Lowther</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20suhqllsf","properties":{"formattedCitation":"(79)","plainCitation":"(79)","noteIndex":0},"citationItems":[{"id":"mvNZPZfg/IAsUrMAd","uris":["http://zotero.org/users/local/lLjYRh4M/items/IQBHRMF4"],"uri":["http://zotero.org/users/local/lLjYRh4M/items/IQBHRMF4"],"itemData":{"id":58,"type":"article-journal","title":"HIV/AIDS and associated conditions among HIV-infected refugees in Minnesota, 2000-2007","container-title":"Int J Environ Res Public Health","page":"4197-209","volume":"9","issue":"11","source":"NLM","archive_location":"23202841","abstract":"In 2010, the requirement for human immunodeficiency virus (HIV) testing of adult refugees prior to US resettlement was removed, thus leading to a potential for missed diagnosis. We reviewed refugee health assessment data and medical charts to evaluate the health status of HIV-infected refugees who arrived in Minnesota during 2000-2007, prior to this 2010 policy change. Among 19,292 resettled adults, 174 were HIV-infected; 169 (97%) were African (median age 26.4 (range: 17-76) years). Charts were abstracted for 157 (124 (79%) with &gt;/= 1 year of follow-up). At initial presentation, two of 74 (3%) women were pregnant; 27% became pregnant during follow-up. HIV clinical stage varied (59%, asymptomatic; 11%, mild symptoms; 10%, advanced symptoms; 3%, severe symptoms; 17%, unknown); coinfections were common (51 tuberculosis, 13 hepatitis B, 13 parasites, four syphilis). Prior to arrival 4% had received antiretrovirals. Opportunistic infections were diagnosed among 13%; 2% died from AIDS-related causes. Arrival screening may be needed to identify these HIV-infected refugees and prevent HIV-related morbidity and mortality.","DOI":"10.3390/ijerph9114197","ISSN":"1660-4601","shortTitle":"HIV/AIDS and associated conditions among HIV-infected refugees in Minnesota, 2000-2007","journalAbbreviation":"International journal of environmental research and public health","language":"eng","author":[{"family":"Lowther","given":"S. A."},{"family":"Johnson","given":"G."},{"family":"Hendel-Paterson","given":"B."},{"family":"Nelson","given":"K."},{"family":"Mamo","given":"B."},{"family":"Krohn","given":"K."},{"family":"Pessoa-Brandao","given":"L."},{"family":"O'Fallon","given":"A."},{"family":"Stauffer","given":"W."}],"issued":{"date-parts":[["2012",11]]}}}],"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(79)</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2012</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vAlign w:val="center"/>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AD6F15" w:rsidRPr="009F01A3" w:rsidRDefault="00AD6F15" w:rsidP="00AD6F15">
            <w:pPr>
              <w:rPr>
                <w:rFonts w:ascii="Times New Roman" w:eastAsia="Calibri" w:hAnsi="Times New Roman" w:cs="Times New Roman"/>
                <w:color w:val="000000"/>
                <w:sz w:val="16"/>
                <w:szCs w:val="16"/>
                <w:lang w:val="en-US" w:eastAsia="pt-BR"/>
              </w:rPr>
            </w:pPr>
            <w:r w:rsidRPr="009F01A3">
              <w:rPr>
                <w:rFonts w:ascii="Times New Roman" w:eastAsia="Calibri" w:hAnsi="Times New Roman" w:cs="Times New Roman"/>
                <w:color w:val="000000"/>
                <w:sz w:val="16"/>
                <w:szCs w:val="16"/>
                <w:lang w:val="en-US" w:eastAsia="pt-BR"/>
              </w:rPr>
              <w:t>Sub-Saharan Africa; South and Southeast</w:t>
            </w:r>
          </w:p>
        </w:tc>
        <w:tc>
          <w:tcPr>
            <w:tcW w:w="202"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2000</w:t>
            </w:r>
          </w:p>
        </w:tc>
        <w:tc>
          <w:tcPr>
            <w:tcW w:w="202"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2007</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AD6F15" w:rsidRPr="009F01A3" w:rsidRDefault="00AD6F15" w:rsidP="00AD6F15">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11,615</w:t>
            </w:r>
          </w:p>
        </w:tc>
        <w:tc>
          <w:tcPr>
            <w:tcW w:w="303"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44.8</w:t>
            </w:r>
          </w:p>
        </w:tc>
        <w:tc>
          <w:tcPr>
            <w:tcW w:w="304" w:type="pct"/>
          </w:tcPr>
          <w:p w:rsidR="00AD6F15" w:rsidRPr="009F01A3" w:rsidRDefault="00AD6F15" w:rsidP="00AD6F15">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202"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60.55</w:t>
            </w:r>
          </w:p>
        </w:tc>
      </w:tr>
      <w:tr w:rsidR="00AD6F15" w:rsidRPr="009F01A3" w:rsidTr="009C09C1">
        <w:trPr>
          <w:trHeight w:val="96"/>
        </w:trPr>
        <w:tc>
          <w:tcPr>
            <w:tcW w:w="415"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 xml:space="preserve">Baker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ssmor05v2","properties":{"formattedCitation":"(56)","plainCitation":"(56)","noteIndex":0},"citationItems":[{"id":"mvNZPZfg/AQ091cP0","uris":["http://zotero.org/users/local/lLjYRh4M/items/3LW5ICWJ"],"uri":["http://zotero.org/users/local/lLjYRh4M/items/3LW5ICWJ"],"itemData":{"id":6,"type":"article-journal","title":"Serial testing of refugees for latent tuberculosis using the QuantiFERON-gold in-tube: effects of an antecedent tuberculin skin test","container-title":"Am J Trop Med Hyg","page":"628-33","volume":"80","issue":"4","source":"NLM","archive_location":"19346390","abstract":"Screening for latent tuberculosis infection (LTBI) in refugee populations immigrating to low-incidence countries remains a challenge. We assessed the characteristics of the QuantiFERON-Gold In-Tube (QFT-GIT) compared with the tuberculin skin test (TST) in 198 refugees of all ages from tuberculosis-endemic countries. Diagnostic agreement between the first QFT-GIT and simultaneous TST was 78% (kappa = 0.56) and between serial QFT-GITs was 89% (kappa = 0.76). In serial QFT-GIT testing, 70% of subjects had an increased QFT-GIT value, perhaps the result of an antecedent TST in the setting of previous TB exposure. This boosting seemed to become less prevalent with time from TST and occurred less frequently in those with negative first QFT-GIT readings. Despite small changes in the quantitative results caused by nonspecific variation and boosting, the diagnostic result of the QFT-GIT was reliable. The QFT-GIT shows the potential to replace the TST for LTBI screening in refugees from tuberculosis-endemic areas.","ISSN":"0002-9637","shortTitle":"Serial testing of refugees for latent tuberculosis using the QuantiFERON-gold in-tube: effects of an antecedent tuberculin skin test","journalAbbreviation":"The American journal of tropical medicine and hygiene","language":"eng","author":[{"family":"Baker","given":"C. A."},{"family":"Thomas","given":"W."},{"family":"Stauffer","given":"W. M."},{"family":"Peterson","given":"P. K."},{"family":"Tsukayama","given":"D. T."}],"issued":{"date-parts":[["2009",4]]}}}],"schema":"https://github.com/citation-style-language/schema/raw/master/csl-citation.json"}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(56)</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2009</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vAlign w:val="center"/>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Somalia; Ethiopia; Liberia; Eritrea; Ghana; Zimbabwe; Ukraine; Russia Federation; China</w:t>
            </w:r>
          </w:p>
        </w:tc>
        <w:tc>
          <w:tcPr>
            <w:tcW w:w="202"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2006</w:t>
            </w:r>
          </w:p>
        </w:tc>
        <w:tc>
          <w:tcPr>
            <w:tcW w:w="202"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2007</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AD6F15" w:rsidRPr="009F01A3" w:rsidRDefault="00AD6F15" w:rsidP="00AD6F15">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195</w:t>
            </w:r>
          </w:p>
        </w:tc>
        <w:tc>
          <w:tcPr>
            <w:tcW w:w="303"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65.6</w:t>
            </w:r>
          </w:p>
        </w:tc>
        <w:tc>
          <w:tcPr>
            <w:tcW w:w="304" w:type="pct"/>
          </w:tcPr>
          <w:p w:rsidR="00AD6F15" w:rsidRPr="009F01A3" w:rsidRDefault="00AD6F15" w:rsidP="00AD6F15">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65.7</w:t>
            </w:r>
          </w:p>
        </w:tc>
        <w:tc>
          <w:tcPr>
            <w:tcW w:w="303"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32.0</w:t>
            </w:r>
          </w:p>
        </w:tc>
        <w:tc>
          <w:tcPr>
            <w:tcW w:w="291"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55.38</w:t>
            </w:r>
          </w:p>
        </w:tc>
      </w:tr>
      <w:tr w:rsidR="00AD6F15" w:rsidRPr="009F01A3" w:rsidTr="009C09C1">
        <w:trPr>
          <w:trHeight w:val="96"/>
        </w:trPr>
        <w:tc>
          <w:tcPr>
            <w:tcW w:w="415" w:type="pct"/>
          </w:tcPr>
          <w:p w:rsidR="00AD6F15" w:rsidRPr="009F01A3" w:rsidRDefault="00AD6F15" w:rsidP="00AD6F15">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sz w:val="16"/>
                <w:szCs w:val="16"/>
                <w:lang w:val="en-US" w:eastAsia="pt-BR"/>
              </w:rPr>
              <w:t>Winje</w:t>
            </w:r>
            <w:proofErr w:type="spellEnd"/>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209dsb29qu","properties":{"formattedCitation":"(86)","plainCitation":"(86)","noteIndex":0},"citationItems":[{"id":"mvNZPZfg/bTGTtL1O","uris":["http://zotero.org/users/local/lLjYRh4M/items/2GMRS3NC"],"uri":["http://zotero.org/users/local/lLjYRh4M/items/2GMRS3NC"],"itemData":{"id":103,"type":"article-journal","title":"Screening for tuberculosis infection among newly arrived asylum seekers: comparison of QuantiFERONTB Gold with tuberculin skin test","container-title":"BMC Infect Dis","page":"65","volume":"8","source":"NLM","archive_location":"18479508","abstract":"BACKGROUND: QuantiFERONTB Gold (QFT) is a promising blood test for tuberculosis infection but with few data so far from immigrant screening. The aim of this study was to compare results of QFT and tuberculin skin test (TST) among newly arrived asylum seekers in Norway and to assess the role of QFT in routine diagnostic screening for latent tuberculosis infection. METHODS: The 1000 asylum seekers (age &gt; or = 18 years) enrolled in the study were voluntarily recruited from 2813 consecutive asylum seekers arriving at the national reception centre from September 2005 to June 2006. Participation included a QFT test and a questionnaire in addition to the mandatory TST and chest X-ray. RESULTS: Among 912 asylum seekers with valid test results, 29% (264) had a positive QFT test whereas 50% (460) tested positive with TST (indurations &gt; or = 6 mm), indicating a high proportion of latent infection within this group. Among the TST positive participants 50% were QFT negative, whereas 7% of the TST negative participants were QFT positive. There was a significant association between increase in size of TST result and the likelihood of being QFT positive. Agreement between the tests was 71-79% depending on the chosen TST cut-off and it was higher for non-vaccinated individuals. CONCLUSION: By using QFT in routine screening, further follow-up could be avoided in 43% of the asylum seekers who would have been referred if based only on a positive TST (&gt; or = 6 mm). The proportion of individuals referred will be the same whether QFT replaces TST or is used as a supplement to confirm a positive TST, but the number tested will vary greatly. All three screening approaches would identify the same proportion (88-89%) of asylum seekers with a positive QFT and/or a TST &gt; or = 15 mm, but different groups will be missed.","DOI":"10.1186/1471-2334-8-65","ISSN":"1471-2334","shortTitle":"Screening for tuberculosis infection among newly arrived asylum seekers: comparison of QuantiFERONTB Gold with tuberculin skin test","journalAbbreviation":"BMC infectious diseases","language":"eng","author":[{"family":"Winje","given":"B. A."},{"family":"Oftung","given":"F."},{"family":"Korsvold","given":"G. E."},{"family":"Mannsaker","given":"T."},{"family":"Jeppesen","given":"A. S."},{"family":"Harstad","given":"I."},{"family":"Heier","given":"B. T."},{"family":"Heldal","given":"E."}],"issued":{"date-parts":[["2008"]]}}}],"schema":"https://github.com/citation-style-language/schema/raw/master/csl-citation.json"}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(86)</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2008</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Norway</w:t>
            </w:r>
          </w:p>
        </w:tc>
        <w:tc>
          <w:tcPr>
            <w:tcW w:w="354" w:type="pct"/>
            <w:vAlign w:val="center"/>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Asylum Seeker</w:t>
            </w:r>
          </w:p>
        </w:tc>
        <w:tc>
          <w:tcPr>
            <w:tcW w:w="556"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Asia. Europe; Africa</w:t>
            </w:r>
          </w:p>
        </w:tc>
        <w:tc>
          <w:tcPr>
            <w:tcW w:w="202"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2005</w:t>
            </w:r>
          </w:p>
        </w:tc>
        <w:tc>
          <w:tcPr>
            <w:tcW w:w="202"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2006</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AD6F15" w:rsidRPr="009F01A3" w:rsidRDefault="00AD6F15" w:rsidP="00AD6F15">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912</w:t>
            </w:r>
          </w:p>
        </w:tc>
        <w:tc>
          <w:tcPr>
            <w:tcW w:w="303"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24.9</w:t>
            </w:r>
          </w:p>
        </w:tc>
        <w:tc>
          <w:tcPr>
            <w:tcW w:w="304" w:type="pct"/>
          </w:tcPr>
          <w:p w:rsidR="00AD6F15" w:rsidRPr="009F01A3" w:rsidRDefault="00AD6F15" w:rsidP="00AD6F15">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6</w:t>
            </w:r>
          </w:p>
        </w:tc>
        <w:tc>
          <w:tcPr>
            <w:tcW w:w="202"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53.95</w:t>
            </w:r>
          </w:p>
        </w:tc>
      </w:tr>
      <w:tr w:rsidR="00AD6F15" w:rsidRPr="009F01A3" w:rsidTr="009C09C1">
        <w:trPr>
          <w:trHeight w:val="96"/>
        </w:trPr>
        <w:tc>
          <w:tcPr>
            <w:tcW w:w="415"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 xml:space="preserve">Lim </w:t>
            </w:r>
            <w:r w:rsidRPr="009F01A3">
              <w:rPr>
                <w:rFonts w:ascii="Times New Roman" w:eastAsia="Times New Roman" w:hAnsi="Times New Roman" w:cs="Times New Roman"/>
                <w:color w:val="000000"/>
                <w:sz w:val="16"/>
                <w:szCs w:val="16"/>
                <w:vertAlign w:val="superscript"/>
                <w:lang w:val="en-US" w:eastAsia="pt-BR"/>
              </w:rPr>
              <w:fldChar w:fldCharType="begin"/>
            </w:r>
            <w:r w:rsidRPr="009F01A3">
              <w:rPr>
                <w:rFonts w:ascii="Times New Roman" w:eastAsia="Times New Roman" w:hAnsi="Times New Roman" w:cs="Times New Roman"/>
                <w:color w:val="000000"/>
                <w:sz w:val="16"/>
                <w:szCs w:val="16"/>
                <w:vertAlign w:val="superscript"/>
                <w:lang w:val="en-US" w:eastAsia="pt-BR"/>
              </w:rPr>
              <w:instrText xml:space="preserve"> ADDIN ZOTERO_ITEM CSL_CITATION {"citationID":"a2ca4ke661q","properties":{"formattedCitation":"(33)","plainCitation":"(33)","noteIndex":0},"citationItems":[{"id":"mvNZPZfg/R7z4LFfC","uris":["http://zotero.org/users/local/lLjYRh4M/items/76WIMQUJ"],"uri":["http://zotero.org/users/local/lLjYRh4M/items/76WIMQUJ"],"itemData":{"id":135,"type":"article-journal","title":"Is Universal Screening Necessary? Incidence of Tuberculosis among Tibetan Refugees Arriving in Calgary, Alberta","container-title":"Can Respir J","page":"8249843","volume":"2016","source":"Nlm","archive_location":"28127230","abstract":"Background. Canadian policy requires refugees with a history of tuberculosis (TB) or abnormal chest radiograph to be screened after arrival for TB. However, Tibetan refugees are indiscriminately screened, regardless of preimmigration assessment. We sought to determine the incidence of latent (LTBI) and active TB, as well as treatment-related outcomes and associations between preimmigration factors and TB infection among Tibetan refugees arriving in Calgary, Alberta. Design. Retrospective cohort study including Tibetan refugees arriving between 2014 and 2016. Associations between preimmigration factors and incidence of latent and active TB were determined using Chi-square tests. Results. Out of 180 subjects, 49 percent had LTBI. LTBI was more common in migrants 30 years of age or older (P = 0.009). Treatment initiation and completion rates were high at 90 percent and 76 percent, respectively. No associations between preimmigration factors and treatment completion were found. A case of active TB was detected and treated. Conclusion. Within this cohort, the case of active TB would have been detected through the usual postsurveillance process due to a history of TB and abnormal chest radiograph. Forty-nine percent had LTBI, compared to previously quoted rates of 97 percent. Tibetan refugees should be screened for TB in a similar manner to other refugees resettling in Canada.","DOI":"10.1155/2016/8249843","ISSN":"1198-2241","shortTitle":"Is Universal Screening Necessary? Incidence of Tuberculosis among Tibetan Refugees Arriving in Calgary, Alberta","journalAbbreviation":"Canadian respiratory journal","language":"eng","author":[{"family":"Lim","given":"R."},{"family":"Jarand","given":"J."},{"family":"Field","given":"S. K."},{"family":"Fisher","given":"D."}],"issued":{"date-parts":[["2016"]]}}}],"schema":"https://github.com/citation-style-language/schema/raw/master/csl-citation.json"} </w:instrText>
            </w:r>
            <w:r w:rsidRPr="009F01A3">
              <w:rPr>
                <w:rFonts w:ascii="Times New Roman" w:eastAsia="Times New Roman" w:hAnsi="Times New Roman" w:cs="Times New Roman"/>
                <w:color w:val="000000"/>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(33)</w:t>
            </w:r>
            <w:r w:rsidRPr="009F01A3">
              <w:rPr>
                <w:rFonts w:ascii="Times New Roman" w:eastAsia="Times New Roman" w:hAnsi="Times New Roman" w:cs="Times New Roman"/>
                <w:color w:val="000000"/>
                <w:sz w:val="16"/>
                <w:szCs w:val="16"/>
                <w:vertAlign w:val="superscript"/>
                <w:lang w:val="en-US" w:eastAsia="pt-BR"/>
              </w:rPr>
              <w:fldChar w:fldCharType="end"/>
            </w:r>
          </w:p>
        </w:tc>
        <w:tc>
          <w:tcPr>
            <w:tcW w:w="35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2016</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Canada</w:t>
            </w:r>
          </w:p>
        </w:tc>
        <w:tc>
          <w:tcPr>
            <w:tcW w:w="354" w:type="pct"/>
            <w:vAlign w:val="center"/>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Refugee</w:t>
            </w:r>
          </w:p>
        </w:tc>
        <w:tc>
          <w:tcPr>
            <w:tcW w:w="556" w:type="pct"/>
          </w:tcPr>
          <w:p w:rsidR="00AD6F15" w:rsidRPr="009F01A3" w:rsidRDefault="00AD6F15" w:rsidP="00AD6F15">
            <w:pPr>
              <w:rPr>
                <w:rFonts w:ascii="Times New Roman" w:eastAsia="Calibri" w:hAnsi="Times New Roman" w:cs="Times New Roman"/>
                <w:color w:val="000000"/>
                <w:sz w:val="16"/>
                <w:szCs w:val="16"/>
                <w:lang w:val="en-US" w:eastAsia="pt-BR"/>
              </w:rPr>
            </w:pPr>
            <w:r w:rsidRPr="009F01A3">
              <w:rPr>
                <w:rFonts w:ascii="Times New Roman" w:eastAsia="Calibri" w:hAnsi="Times New Roman" w:cs="Times New Roman"/>
                <w:color w:val="000000"/>
                <w:sz w:val="16"/>
                <w:szCs w:val="16"/>
                <w:lang w:val="en-US" w:eastAsia="pt-BR"/>
              </w:rPr>
              <w:t>Tibet</w:t>
            </w:r>
          </w:p>
        </w:tc>
        <w:tc>
          <w:tcPr>
            <w:tcW w:w="202"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2014</w:t>
            </w:r>
          </w:p>
        </w:tc>
        <w:tc>
          <w:tcPr>
            <w:tcW w:w="202"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2016</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AD6F15" w:rsidRPr="009F01A3" w:rsidRDefault="00AD6F15" w:rsidP="00AD6F15">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163</w:t>
            </w:r>
          </w:p>
        </w:tc>
        <w:tc>
          <w:tcPr>
            <w:tcW w:w="303"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51.11</w:t>
            </w:r>
          </w:p>
        </w:tc>
        <w:tc>
          <w:tcPr>
            <w:tcW w:w="304" w:type="pct"/>
          </w:tcPr>
          <w:p w:rsidR="00AD6F15" w:rsidRPr="009F01A3" w:rsidRDefault="00AD6F15" w:rsidP="00AD6F15">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NI</w:t>
            </w:r>
          </w:p>
        </w:tc>
        <w:tc>
          <w:tcPr>
            <w:tcW w:w="202"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54.2</w:t>
            </w:r>
          </w:p>
        </w:tc>
        <w:tc>
          <w:tcPr>
            <w:tcW w:w="303"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43.8</w:t>
            </w:r>
          </w:p>
        </w:tc>
        <w:tc>
          <w:tcPr>
            <w:tcW w:w="291"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51.53</w:t>
            </w:r>
          </w:p>
        </w:tc>
      </w:tr>
      <w:tr w:rsidR="00AD6F15" w:rsidRPr="009F01A3" w:rsidTr="009C09C1">
        <w:trPr>
          <w:trHeight w:val="96"/>
        </w:trPr>
        <w:tc>
          <w:tcPr>
            <w:tcW w:w="415" w:type="pct"/>
          </w:tcPr>
          <w:p w:rsidR="00AD6F15" w:rsidRPr="009F01A3" w:rsidRDefault="00AD6F15" w:rsidP="00AD6F15">
            <w:pPr>
              <w:rPr>
                <w:rFonts w:ascii="Times New Roman" w:eastAsia="Times New Roman" w:hAnsi="Times New Roman" w:cs="Times New Roman"/>
                <w:color w:val="000000"/>
                <w:sz w:val="16"/>
                <w:szCs w:val="16"/>
                <w:lang w:val="en-US" w:eastAsia="pt-BR"/>
              </w:rPr>
            </w:pPr>
            <w:proofErr w:type="spellStart"/>
            <w:r w:rsidRPr="009F01A3">
              <w:rPr>
                <w:rFonts w:ascii="Times New Roman" w:eastAsia="Times New Roman" w:hAnsi="Times New Roman" w:cs="Times New Roman"/>
                <w:sz w:val="16"/>
                <w:szCs w:val="16"/>
                <w:lang w:val="en-US" w:eastAsia="pt-BR"/>
              </w:rPr>
              <w:t>Kowatsch</w:t>
            </w:r>
            <w:proofErr w:type="spellEnd"/>
            <w:r w:rsidRPr="009F01A3">
              <w:rPr>
                <w:rFonts w:ascii="Times New Roman" w:eastAsia="Times New Roman" w:hAnsi="Times New Roman" w:cs="Times New Roman"/>
                <w:sz w:val="16"/>
                <w:szCs w:val="16"/>
                <w:lang w:val="en-US" w:eastAsia="pt-BR"/>
              </w:rPr>
              <w:t>-Beyer</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q15a8nsj2","properties":{"formattedCitation":"(93)","plainCitation":"(93)","noteIndex":0},"citationItems":[{"id":"mvNZPZfg/lzKmxnaL","uris":["http://zotero.org/users/local/lLjYRh4M/items/ER8I67F3"],"uri":["http://zotero.org/users/local/lLjYRh4M/items/ER8I67F3"],"itemData":{"id":44,"type":"article-journal","title":"Utilization of a latent tuberculosis infection referral system by newly resettled refugees in central Ohio","container-title":"Int J Tuberc Lung Dis","page":"320-5","volume":"17","issue":"3","source":"NLM","archive_location":"23407220","abstract":"SETTING: A resettlement medical screening program that refers refugees with a positive tuberculin skin test (TST) to a public health tuberculosis (TB) clinic for evaluation for latent tuberculosis infection (LTBI). OBJECTIVE: To identify the proportion of refugees that were TST-positive, how many attended after referral for medical evaluation, what characteristics influenced follow-up, and whether programmatic changes would increase follow-up rates. DESIGN: Refugee characteristics and follow-up information were extracted from the resettlement medical records of 224 adult refugees screened in Columbus, Franklin County, Ohio, in 2008. Programmatic modifications in the referral system were implemented in December 2010. RESULTS: Of 224 refugees screened, 115 (51%) had a TST induration &gt;/= 5 mm, 113 (98.3%) were referred and 60 (53.1%) attended the Columbus Public Health (CPH) TB clinic for evaluation. Resettling from East Asia (Myanmar, Viet Nam; OR 12.48, 95%CI 2.32-67.06) and TST induration size &gt;/= 10 mm (OR 9.38, 95%CI 1.41-62.26) were significantly associated with follow-up at the CPH. Implementation of scheduled appointments, telephone reminders and transportation arrangements increased follow-up to 93.5%. CONCLUSIONS: Collaborative strategies can improve follow-up rates of TST-positive refugees during resettlement medical screening, facilitate LTBI treatment and prevent the development of active TB.","DOI":"10.5588/ijtld.12.0439","ISSN":"1027-3719","shortTitle":"Utilization of a latent tuberculosis infection referral system by newly resettled refugees in central Ohio","journalAbbreviation":"The international journal of tuberculosis and lung disease : the official journal of the International Union against Tuberculosis and Lung Disease","language":"eng","author":[{"family":"Kowatsch-Beyer","given":"K."},{"family":"Norris-Turner","given":"A."},{"family":"Love","given":"R."},{"family":"Denkowski","given":"P."},{"family":"Wang","given":"S. H."}],"issued":{"date-parts":[["2013",3]]}}}],"schema":"https://github.com/citation-style-language/schema/raw/master/csl-citation.json"}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(93)</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AD6F15" w:rsidRPr="009F01A3" w:rsidRDefault="00AD6F15" w:rsidP="00AD6F15">
            <w:pPr>
              <w:rPr>
                <w:rFonts w:ascii="Times New Roman" w:eastAsia="Times New Roman" w:hAnsi="Times New Roman" w:cs="Times New Roman"/>
                <w:color w:val="000000"/>
                <w:sz w:val="16"/>
                <w:szCs w:val="16"/>
                <w:lang w:val="en-US" w:eastAsia="pt-BR"/>
              </w:rPr>
            </w:pPr>
            <w:r w:rsidRPr="009F01A3">
              <w:rPr>
                <w:rFonts w:ascii="Times New Roman" w:eastAsia="Times New Roman" w:hAnsi="Times New Roman" w:cs="Times New Roman"/>
                <w:sz w:val="16"/>
                <w:szCs w:val="16"/>
                <w:lang w:val="en-US" w:eastAsia="pt-BR"/>
              </w:rPr>
              <w:t>2013</w:t>
            </w:r>
          </w:p>
        </w:tc>
        <w:tc>
          <w:tcPr>
            <w:tcW w:w="303" w:type="pct"/>
          </w:tcPr>
          <w:p w:rsidR="00AD6F15" w:rsidRPr="009F01A3" w:rsidRDefault="00AD6F15" w:rsidP="00AD6F15">
            <w:pPr>
              <w:rPr>
                <w:rFonts w:ascii="Times New Roman" w:eastAsia="Times New Roman" w:hAnsi="Times New Roman" w:cs="Times New Roman"/>
                <w:color w:val="000000"/>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vAlign w:val="center"/>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Africa; East Asia; Eastern Europe; South Asia; Latin America</w:t>
            </w:r>
          </w:p>
        </w:tc>
        <w:tc>
          <w:tcPr>
            <w:tcW w:w="202" w:type="pct"/>
          </w:tcPr>
          <w:p w:rsidR="00AD6F15" w:rsidRPr="009F01A3" w:rsidRDefault="00AD6F15" w:rsidP="00AD6F15">
            <w:pPr>
              <w:rPr>
                <w:rFonts w:ascii="Times New Roman" w:eastAsia="Calibri" w:hAnsi="Times New Roman" w:cs="Times New Roman"/>
                <w:color w:val="000000"/>
                <w:sz w:val="16"/>
                <w:szCs w:val="16"/>
                <w:lang w:val="en-US" w:eastAsia="pt-BR"/>
              </w:rPr>
            </w:pPr>
            <w:r w:rsidRPr="009F01A3">
              <w:rPr>
                <w:rFonts w:ascii="Times New Roman" w:eastAsia="Calibri" w:hAnsi="Times New Roman" w:cs="Times New Roman"/>
                <w:sz w:val="16"/>
                <w:szCs w:val="16"/>
                <w:lang w:val="en-US" w:eastAsia="pt-BR"/>
              </w:rPr>
              <w:t>2008</w:t>
            </w:r>
          </w:p>
        </w:tc>
        <w:tc>
          <w:tcPr>
            <w:tcW w:w="202" w:type="pct"/>
          </w:tcPr>
          <w:p w:rsidR="00AD6F15" w:rsidRPr="009F01A3" w:rsidRDefault="00AD6F15" w:rsidP="00AD6F15">
            <w:pPr>
              <w:rPr>
                <w:rFonts w:ascii="Times New Roman" w:eastAsia="Calibri" w:hAnsi="Times New Roman" w:cs="Times New Roman"/>
                <w:color w:val="000000"/>
                <w:sz w:val="16"/>
                <w:szCs w:val="16"/>
                <w:lang w:val="en-US" w:eastAsia="pt-BR"/>
              </w:rPr>
            </w:pPr>
            <w:r w:rsidRPr="009F01A3">
              <w:rPr>
                <w:rFonts w:ascii="Times New Roman" w:eastAsia="Calibri" w:hAnsi="Times New Roman" w:cs="Times New Roman"/>
                <w:sz w:val="16"/>
                <w:szCs w:val="16"/>
                <w:lang w:val="en-US" w:eastAsia="pt-BR"/>
              </w:rPr>
              <w:t>2008</w:t>
            </w:r>
          </w:p>
        </w:tc>
        <w:tc>
          <w:tcPr>
            <w:tcW w:w="303" w:type="pct"/>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AD6F15" w:rsidRPr="009F01A3" w:rsidRDefault="00AD6F15" w:rsidP="00AD6F15">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224</w:t>
            </w:r>
          </w:p>
        </w:tc>
        <w:tc>
          <w:tcPr>
            <w:tcW w:w="303"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sz w:val="16"/>
                <w:szCs w:val="16"/>
                <w:lang w:val="en-US"/>
              </w:rPr>
              <w:t>47.8</w:t>
            </w:r>
          </w:p>
        </w:tc>
        <w:tc>
          <w:tcPr>
            <w:tcW w:w="304" w:type="pct"/>
          </w:tcPr>
          <w:p w:rsidR="00AD6F15" w:rsidRPr="009F01A3" w:rsidRDefault="00AD6F15" w:rsidP="00AD6F15">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sz w:val="16"/>
                <w:szCs w:val="16"/>
                <w:lang w:val="en-US"/>
              </w:rPr>
              <w:t>5</w:t>
            </w:r>
          </w:p>
        </w:tc>
        <w:tc>
          <w:tcPr>
            <w:tcW w:w="202"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51.34</w:t>
            </w:r>
          </w:p>
        </w:tc>
      </w:tr>
      <w:tr w:rsidR="00AD6F15" w:rsidRPr="009F01A3" w:rsidTr="009C09C1">
        <w:trPr>
          <w:trHeight w:val="96"/>
        </w:trPr>
        <w:tc>
          <w:tcPr>
            <w:tcW w:w="415" w:type="pct"/>
            <w:tcBorders>
              <w:bottom w:val="single" w:sz="4" w:space="0" w:color="auto"/>
            </w:tcBorders>
          </w:tcPr>
          <w:p w:rsidR="00AD6F15" w:rsidRPr="009F01A3" w:rsidRDefault="00AD6F15" w:rsidP="00AD6F15">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sz w:val="16"/>
                <w:szCs w:val="16"/>
                <w:lang w:val="en-US" w:eastAsia="pt-BR"/>
              </w:rPr>
              <w:t>Varkey</w:t>
            </w:r>
            <w:proofErr w:type="spellEnd"/>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he8e7el5i","properties":{"formattedCitation":"(82)","plainCitation":"(82)","noteIndex":0},"citationItems":[{"id":"mvNZPZfg/lQZnbvKB","uris":["http://zotero.org/users/local/lLjYRh4M/items/DCNPISI2"],"uri":["http://zotero.org/users/local/lLjYRh4M/items/DCNPISI2"],"itemData":{"id":99,"type":"article-journal","title":"The epidemiology of tuberculosis among primary refugee arrivals in Minnesota between 1997 and 2001","container-title":"J Travel Med","page":"1-8","volume":"14","issue":"1","source":"NLM","archive_location":"17241247","abstract":"BACKGROUND: Minnesota (MN) is home to one of the highest number of refugees in the United States. The primary objective of this study was to evaluate the prevalence of latent and active tuberculosis (TB) infection in primary refugee arrivals to MN. Secondary objectives were to determine the association of TB infection with gender, age, and ethnicity of the refugees. METHODS: A retrospective study of primary refugee arrivals to MN between January 1, 1997, and December 31, 2001, was conducted. Chi-square tests and logistic regression analyses were used to assess the association of TB infection with gender, age, and ethnicity. RESULTS: Of the 9,842 refugees who had Mantoux test results, 4,990 (50.7%) had a positive test. A positive test was more common in men [odds ratio (OR) = 1.6; p &lt; 0.0001], in Africans (OR = 1.6, p = &lt;0.0001), and increased with 10-year age intervals (OR = 1.4; p &lt; 0.0001). A total of 116 (0.8%) refugees received treatment for active TB. Active TB was more common in men (OR = 1.7; p = 0.006), African ethnicity (OR = 4.3; p &lt; 0.0001), and increased with 10-year age intervals (OR = 1.1; p = 0.05). CONCLUSIONS: Screening and treatment for latent and active TB should be actively managed among refugees resettling in the United States, as this is common and can have significant public health implications.","DOI":"10.1111/j.1708-8305.2006.00083.x","ISSN":"1195-1982 (Print) 1195-1982","shortTitle":"The epidemiology of tuberculosis among primary refugee arrivals in Minnesota between 1997 and 2001","journalAbbreviation":"Journal of travel medicine","language":"eng","author":[{"family":"Varkey","given":"P."},{"family":"Jerath","given":"A. U."},{"family":"Bagniewski","given":"S. M."},{"family":"Lesnick","given":"T. G."}],"issued":{"date-parts":[["2007",1]]}}}],"schema":"https://github.com/citation-style-language/schema/raw/master/csl-citation.json"}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(82)</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Borders>
              <w:bottom w:val="single" w:sz="4" w:space="0" w:color="auto"/>
            </w:tcBorders>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2007</w:t>
            </w:r>
          </w:p>
        </w:tc>
        <w:tc>
          <w:tcPr>
            <w:tcW w:w="303" w:type="pct"/>
            <w:tcBorders>
              <w:bottom w:val="single" w:sz="4" w:space="0" w:color="auto"/>
            </w:tcBorders>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tcBorders>
              <w:bottom w:val="single" w:sz="4" w:space="0" w:color="auto"/>
            </w:tcBorders>
            <w:vAlign w:val="center"/>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Borders>
              <w:bottom w:val="single" w:sz="4" w:space="0" w:color="auto"/>
            </w:tcBorders>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Africa; Europe; Asia; Central and South America</w:t>
            </w:r>
          </w:p>
        </w:tc>
        <w:tc>
          <w:tcPr>
            <w:tcW w:w="202" w:type="pct"/>
            <w:tcBorders>
              <w:bottom w:val="single" w:sz="4" w:space="0" w:color="auto"/>
            </w:tcBorders>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1997</w:t>
            </w:r>
          </w:p>
        </w:tc>
        <w:tc>
          <w:tcPr>
            <w:tcW w:w="202" w:type="pct"/>
            <w:tcBorders>
              <w:bottom w:val="single" w:sz="4" w:space="0" w:color="auto"/>
            </w:tcBorders>
          </w:tcPr>
          <w:p w:rsidR="00AD6F15" w:rsidRPr="009F01A3" w:rsidRDefault="00AD6F15" w:rsidP="00AD6F15">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2001</w:t>
            </w:r>
          </w:p>
        </w:tc>
        <w:tc>
          <w:tcPr>
            <w:tcW w:w="303" w:type="pct"/>
            <w:tcBorders>
              <w:bottom w:val="single" w:sz="4" w:space="0" w:color="auto"/>
            </w:tcBorders>
          </w:tcPr>
          <w:p w:rsidR="00AD6F15" w:rsidRPr="009F01A3" w:rsidRDefault="00AD6F15" w:rsidP="00AD6F15">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Borders>
              <w:bottom w:val="single" w:sz="4" w:space="0" w:color="auto"/>
            </w:tcBorders>
          </w:tcPr>
          <w:p w:rsidR="00AD6F15" w:rsidRPr="009F01A3" w:rsidRDefault="00AD6F15" w:rsidP="00AD6F15">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9,842</w:t>
            </w:r>
          </w:p>
        </w:tc>
        <w:tc>
          <w:tcPr>
            <w:tcW w:w="303" w:type="pct"/>
            <w:tcBorders>
              <w:bottom w:val="single" w:sz="4" w:space="0" w:color="auto"/>
            </w:tcBorders>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47.7</w:t>
            </w:r>
          </w:p>
        </w:tc>
        <w:tc>
          <w:tcPr>
            <w:tcW w:w="304" w:type="pct"/>
            <w:tcBorders>
              <w:bottom w:val="single" w:sz="4" w:space="0" w:color="auto"/>
            </w:tcBorders>
          </w:tcPr>
          <w:p w:rsidR="00AD6F15" w:rsidRPr="009F01A3" w:rsidRDefault="00AD6F15" w:rsidP="00AD6F15">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Borders>
              <w:bottom w:val="single" w:sz="4" w:space="0" w:color="auto"/>
            </w:tcBorders>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Borders>
              <w:bottom w:val="single" w:sz="4" w:space="0" w:color="auto"/>
            </w:tcBorders>
          </w:tcPr>
          <w:p w:rsidR="00AD6F15" w:rsidRPr="009F01A3" w:rsidRDefault="00AD6F15" w:rsidP="00AD6F15">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Borders>
              <w:bottom w:val="single" w:sz="4" w:space="0" w:color="auto"/>
            </w:tcBorders>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57.2</w:t>
            </w:r>
          </w:p>
        </w:tc>
        <w:tc>
          <w:tcPr>
            <w:tcW w:w="303" w:type="pct"/>
            <w:tcBorders>
              <w:bottom w:val="single" w:sz="4" w:space="0" w:color="auto"/>
            </w:tcBorders>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45.2</w:t>
            </w:r>
          </w:p>
        </w:tc>
        <w:tc>
          <w:tcPr>
            <w:tcW w:w="291" w:type="pct"/>
            <w:tcBorders>
              <w:bottom w:val="single" w:sz="4" w:space="0" w:color="auto"/>
            </w:tcBorders>
          </w:tcPr>
          <w:p w:rsidR="00AD6F15" w:rsidRPr="009F01A3" w:rsidRDefault="00AD6F15" w:rsidP="00AD6F15">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50.70</w:t>
            </w:r>
          </w:p>
        </w:tc>
      </w:tr>
    </w:tbl>
    <w:p w:rsidR="00DC58F6" w:rsidRDefault="00DC58F6"/>
    <w:tbl>
      <w:tblPr>
        <w:tblStyle w:val="Tabelacomgrade"/>
        <w:tblW w:w="5012" w:type="pct"/>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4"/>
        <w:gridCol w:w="990"/>
        <w:gridCol w:w="851"/>
        <w:gridCol w:w="994"/>
        <w:gridCol w:w="1561"/>
        <w:gridCol w:w="567"/>
        <w:gridCol w:w="567"/>
        <w:gridCol w:w="851"/>
        <w:gridCol w:w="851"/>
        <w:gridCol w:w="851"/>
        <w:gridCol w:w="854"/>
        <w:gridCol w:w="994"/>
        <w:gridCol w:w="708"/>
        <w:gridCol w:w="567"/>
        <w:gridCol w:w="851"/>
        <w:gridCol w:w="817"/>
      </w:tblGrid>
      <w:tr w:rsidR="00DC58F6" w:rsidRPr="009F01A3" w:rsidTr="009C09C1">
        <w:trPr>
          <w:trHeight w:val="96"/>
        </w:trPr>
        <w:tc>
          <w:tcPr>
            <w:tcW w:w="415" w:type="pct"/>
            <w:vMerge w:val="restart"/>
            <w:tcBorders>
              <w:top w:val="single" w:sz="4" w:space="0" w:color="auto"/>
            </w:tcBorders>
            <w:vAlign w:val="center"/>
          </w:tcPr>
          <w:p w:rsidR="00DC58F6" w:rsidRPr="009F01A3" w:rsidRDefault="00DC58F6" w:rsidP="00DC58F6">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lastRenderedPageBreak/>
              <w:t>First Author</w:t>
            </w:r>
          </w:p>
        </w:tc>
        <w:tc>
          <w:tcPr>
            <w:tcW w:w="353" w:type="pct"/>
            <w:vMerge w:val="restart"/>
            <w:tcBorders>
              <w:top w:val="single" w:sz="4" w:space="0" w:color="auto"/>
            </w:tcBorders>
            <w:vAlign w:val="center"/>
          </w:tcPr>
          <w:p w:rsidR="00DC58F6" w:rsidRPr="009F01A3" w:rsidRDefault="00DC58F6" w:rsidP="00DC58F6">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Year of publication</w:t>
            </w:r>
          </w:p>
        </w:tc>
        <w:tc>
          <w:tcPr>
            <w:tcW w:w="303" w:type="pct"/>
            <w:vMerge w:val="restart"/>
            <w:tcBorders>
              <w:top w:val="single" w:sz="4" w:space="0" w:color="auto"/>
            </w:tcBorders>
            <w:vAlign w:val="center"/>
          </w:tcPr>
          <w:p w:rsidR="00DC58F6" w:rsidRPr="009F01A3" w:rsidRDefault="00DC58F6" w:rsidP="00DC58F6">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Country of study</w:t>
            </w:r>
          </w:p>
        </w:tc>
        <w:tc>
          <w:tcPr>
            <w:tcW w:w="354" w:type="pct"/>
            <w:vMerge w:val="restart"/>
            <w:tcBorders>
              <w:top w:val="single" w:sz="4" w:space="0" w:color="auto"/>
            </w:tcBorders>
            <w:vAlign w:val="center"/>
          </w:tcPr>
          <w:p w:rsidR="00DC58F6" w:rsidRPr="009F01A3" w:rsidRDefault="00DC58F6" w:rsidP="00DC58F6">
            <w:pPr>
              <w:contextualSpacing/>
              <w:jc w:val="center"/>
              <w:rPr>
                <w:rFonts w:ascii="Times New Roman" w:eastAsia="Times New Roman" w:hAnsi="Times New Roman" w:cs="Times New Roman"/>
                <w:b/>
                <w:bCs/>
                <w:color w:val="000000"/>
                <w:sz w:val="16"/>
                <w:szCs w:val="16"/>
                <w:lang w:val="en-US" w:eastAsia="pt-BR"/>
              </w:rPr>
            </w:pPr>
            <w:r w:rsidRPr="009F01A3">
              <w:rPr>
                <w:rFonts w:ascii="Times New Roman" w:hAnsi="Times New Roman" w:cs="Times New Roman"/>
                <w:b/>
                <w:bCs/>
                <w:sz w:val="16"/>
                <w:szCs w:val="16"/>
                <w:lang w:val="en-US"/>
              </w:rPr>
              <w:t>Population</w:t>
            </w:r>
          </w:p>
        </w:tc>
        <w:tc>
          <w:tcPr>
            <w:tcW w:w="556" w:type="pct"/>
            <w:vMerge w:val="restart"/>
            <w:tcBorders>
              <w:top w:val="single" w:sz="4" w:space="0" w:color="auto"/>
            </w:tcBorders>
            <w:vAlign w:val="center"/>
          </w:tcPr>
          <w:p w:rsidR="00DC58F6" w:rsidRPr="009F01A3" w:rsidRDefault="00DC58F6" w:rsidP="00DC58F6">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color w:val="000000"/>
                <w:sz w:val="16"/>
                <w:szCs w:val="16"/>
                <w:lang w:val="en-US" w:eastAsia="pt-BR"/>
              </w:rPr>
              <w:t>Country / Region of origin</w:t>
            </w:r>
          </w:p>
        </w:tc>
        <w:tc>
          <w:tcPr>
            <w:tcW w:w="404" w:type="pct"/>
            <w:gridSpan w:val="2"/>
            <w:tcBorders>
              <w:top w:val="single" w:sz="4" w:space="0" w:color="auto"/>
            </w:tcBorders>
            <w:vAlign w:val="center"/>
          </w:tcPr>
          <w:p w:rsidR="00DC58F6" w:rsidRPr="009F01A3"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Period of data collection</w:t>
            </w:r>
          </w:p>
        </w:tc>
        <w:tc>
          <w:tcPr>
            <w:tcW w:w="303" w:type="pct"/>
            <w:vMerge w:val="restart"/>
            <w:tcBorders>
              <w:top w:val="single" w:sz="4" w:space="0" w:color="auto"/>
            </w:tcBorders>
            <w:vAlign w:val="center"/>
          </w:tcPr>
          <w:p w:rsidR="00DC58F6" w:rsidRPr="009F01A3"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color w:val="000000"/>
                <w:sz w:val="16"/>
                <w:szCs w:val="16"/>
                <w:lang w:val="en-US" w:eastAsia="pt-BR"/>
              </w:rPr>
              <w:t>Setting</w:t>
            </w:r>
          </w:p>
        </w:tc>
        <w:tc>
          <w:tcPr>
            <w:tcW w:w="303" w:type="pct"/>
            <w:vMerge w:val="restart"/>
            <w:tcBorders>
              <w:top w:val="single" w:sz="4" w:space="0" w:color="auto"/>
            </w:tcBorders>
            <w:vAlign w:val="center"/>
          </w:tcPr>
          <w:p w:rsidR="00DC58F6" w:rsidRPr="009F01A3"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Sample*</w:t>
            </w:r>
          </w:p>
          <w:p w:rsidR="00DC58F6" w:rsidRPr="009F01A3"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(n)</w:t>
            </w:r>
          </w:p>
        </w:tc>
        <w:tc>
          <w:tcPr>
            <w:tcW w:w="303" w:type="pct"/>
            <w:vMerge w:val="restart"/>
            <w:tcBorders>
              <w:top w:val="single" w:sz="4" w:space="0" w:color="auto"/>
            </w:tcBorders>
            <w:vAlign w:val="center"/>
          </w:tcPr>
          <w:p w:rsidR="00DC58F6" w:rsidRPr="009F01A3" w:rsidRDefault="00DC58F6" w:rsidP="00DC58F6">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Women</w:t>
            </w:r>
          </w:p>
          <w:p w:rsidR="00DC58F6" w:rsidRPr="009F01A3"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w:t>
            </w:r>
          </w:p>
        </w:tc>
        <w:tc>
          <w:tcPr>
            <w:tcW w:w="304" w:type="pct"/>
            <w:vMerge w:val="restart"/>
            <w:tcBorders>
              <w:top w:val="single" w:sz="4" w:space="0" w:color="auto"/>
            </w:tcBorders>
            <w:vAlign w:val="center"/>
          </w:tcPr>
          <w:p w:rsidR="00DC58F6" w:rsidRPr="009F01A3"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Study design</w:t>
            </w:r>
          </w:p>
        </w:tc>
        <w:tc>
          <w:tcPr>
            <w:tcW w:w="354" w:type="pct"/>
            <w:vMerge w:val="restart"/>
            <w:tcBorders>
              <w:top w:val="single" w:sz="4" w:space="0" w:color="auto"/>
            </w:tcBorders>
            <w:vAlign w:val="center"/>
          </w:tcPr>
          <w:p w:rsidR="00DC58F6" w:rsidRPr="009F01A3" w:rsidRDefault="00DC58F6" w:rsidP="00DC58F6">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Diagnostic test*</w:t>
            </w:r>
          </w:p>
        </w:tc>
        <w:tc>
          <w:tcPr>
            <w:tcW w:w="252" w:type="pct"/>
            <w:tcBorders>
              <w:top w:val="single" w:sz="4" w:space="0" w:color="auto"/>
            </w:tcBorders>
            <w:vAlign w:val="center"/>
          </w:tcPr>
          <w:p w:rsidR="00DC58F6" w:rsidRPr="009F01A3" w:rsidRDefault="00DC58F6" w:rsidP="00DC58F6">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TST cutoff point (mm)</w:t>
            </w:r>
          </w:p>
        </w:tc>
        <w:tc>
          <w:tcPr>
            <w:tcW w:w="796" w:type="pct"/>
            <w:gridSpan w:val="3"/>
            <w:tcBorders>
              <w:top w:val="single" w:sz="4" w:space="0" w:color="auto"/>
            </w:tcBorders>
            <w:vAlign w:val="center"/>
          </w:tcPr>
          <w:p w:rsidR="00DC58F6" w:rsidRPr="009F01A3" w:rsidRDefault="00DC58F6" w:rsidP="00DC58F6">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Prevalence</w:t>
            </w:r>
          </w:p>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b/>
                <w:bCs/>
                <w:sz w:val="16"/>
                <w:szCs w:val="16"/>
                <w:lang w:val="en-US"/>
              </w:rPr>
              <w:t>(%)</w:t>
            </w:r>
          </w:p>
        </w:tc>
      </w:tr>
      <w:tr w:rsidR="00DC58F6" w:rsidRPr="009F01A3" w:rsidTr="009C09C1">
        <w:trPr>
          <w:trHeight w:val="96"/>
        </w:trPr>
        <w:tc>
          <w:tcPr>
            <w:tcW w:w="415" w:type="pct"/>
            <w:vMerge/>
            <w:tcBorders>
              <w:bottom w:val="single" w:sz="4" w:space="0" w:color="auto"/>
            </w:tcBorders>
            <w:vAlign w:val="center"/>
          </w:tcPr>
          <w:p w:rsidR="00DC58F6" w:rsidRPr="009F01A3" w:rsidRDefault="00DC58F6" w:rsidP="00DC58F6">
            <w:pPr>
              <w:contextualSpacing/>
              <w:jc w:val="center"/>
              <w:rPr>
                <w:rFonts w:ascii="Times New Roman" w:eastAsia="Times New Roman" w:hAnsi="Times New Roman" w:cs="Times New Roman"/>
                <w:b/>
                <w:bCs/>
                <w:sz w:val="16"/>
                <w:szCs w:val="16"/>
                <w:lang w:val="en-US" w:eastAsia="pt-BR"/>
              </w:rPr>
            </w:pPr>
          </w:p>
        </w:tc>
        <w:tc>
          <w:tcPr>
            <w:tcW w:w="353" w:type="pct"/>
            <w:vMerge/>
            <w:tcBorders>
              <w:bottom w:val="single" w:sz="4" w:space="0" w:color="auto"/>
            </w:tcBorders>
            <w:vAlign w:val="center"/>
          </w:tcPr>
          <w:p w:rsidR="00DC58F6" w:rsidRPr="009F01A3" w:rsidRDefault="00DC58F6" w:rsidP="00DC58F6">
            <w:pPr>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DC58F6" w:rsidRPr="009F01A3" w:rsidRDefault="00DC58F6" w:rsidP="00DC58F6">
            <w:pPr>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vAlign w:val="center"/>
          </w:tcPr>
          <w:p w:rsidR="00DC58F6" w:rsidRPr="009F01A3" w:rsidRDefault="00DC58F6" w:rsidP="00DC58F6">
            <w:pPr>
              <w:contextualSpacing/>
              <w:jc w:val="center"/>
              <w:rPr>
                <w:rFonts w:ascii="Times New Roman" w:hAnsi="Times New Roman" w:cs="Times New Roman"/>
                <w:b/>
                <w:bCs/>
                <w:sz w:val="16"/>
                <w:szCs w:val="16"/>
                <w:lang w:val="en-US"/>
              </w:rPr>
            </w:pPr>
          </w:p>
        </w:tc>
        <w:tc>
          <w:tcPr>
            <w:tcW w:w="556" w:type="pct"/>
            <w:vMerge/>
            <w:tcBorders>
              <w:bottom w:val="single" w:sz="4" w:space="0" w:color="auto"/>
            </w:tcBorders>
            <w:vAlign w:val="center"/>
          </w:tcPr>
          <w:p w:rsidR="00DC58F6" w:rsidRPr="009F01A3" w:rsidRDefault="00DC58F6" w:rsidP="00DC58F6">
            <w:pPr>
              <w:contextualSpacing/>
              <w:jc w:val="center"/>
              <w:rPr>
                <w:rFonts w:ascii="Times New Roman" w:eastAsia="Times New Roman" w:hAnsi="Times New Roman" w:cs="Times New Roman"/>
                <w:b/>
                <w:bCs/>
                <w:color w:val="000000"/>
                <w:sz w:val="16"/>
                <w:szCs w:val="16"/>
                <w:lang w:val="en-US" w:eastAsia="pt-BR"/>
              </w:rPr>
            </w:pPr>
          </w:p>
        </w:tc>
        <w:tc>
          <w:tcPr>
            <w:tcW w:w="202" w:type="pct"/>
            <w:tcBorders>
              <w:bottom w:val="single" w:sz="4" w:space="0" w:color="auto"/>
            </w:tcBorders>
            <w:vAlign w:val="center"/>
          </w:tcPr>
          <w:p w:rsidR="00DC58F6" w:rsidRPr="009F01A3"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Start</w:t>
            </w:r>
          </w:p>
        </w:tc>
        <w:tc>
          <w:tcPr>
            <w:tcW w:w="202" w:type="pct"/>
            <w:tcBorders>
              <w:bottom w:val="single" w:sz="4" w:space="0" w:color="auto"/>
            </w:tcBorders>
            <w:vAlign w:val="center"/>
          </w:tcPr>
          <w:p w:rsidR="00DC58F6" w:rsidRPr="009F01A3"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End</w:t>
            </w:r>
          </w:p>
        </w:tc>
        <w:tc>
          <w:tcPr>
            <w:tcW w:w="303" w:type="pct"/>
            <w:vMerge/>
            <w:tcBorders>
              <w:bottom w:val="single" w:sz="4" w:space="0" w:color="auto"/>
            </w:tcBorders>
            <w:vAlign w:val="center"/>
          </w:tcPr>
          <w:p w:rsidR="00DC58F6" w:rsidRPr="009F01A3"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DC58F6" w:rsidRPr="009F01A3" w:rsidRDefault="00DC58F6" w:rsidP="00DC58F6">
            <w:pPr>
              <w:autoSpaceDE w:val="0"/>
              <w:autoSpaceDN w:val="0"/>
              <w:adjustRightInd w:val="0"/>
              <w:contextualSpacing/>
              <w:jc w:val="center"/>
              <w:rPr>
                <w:rFonts w:ascii="Times New Roman" w:hAnsi="Times New Roman" w:cs="Times New Roman"/>
                <w:b/>
                <w:bCs/>
                <w:sz w:val="16"/>
                <w:szCs w:val="16"/>
                <w:lang w:val="en-US"/>
              </w:rPr>
            </w:pPr>
          </w:p>
        </w:tc>
        <w:tc>
          <w:tcPr>
            <w:tcW w:w="303" w:type="pct"/>
            <w:vMerge/>
            <w:tcBorders>
              <w:bottom w:val="single" w:sz="4" w:space="0" w:color="auto"/>
            </w:tcBorders>
            <w:vAlign w:val="center"/>
          </w:tcPr>
          <w:p w:rsidR="00DC58F6" w:rsidRPr="009F01A3"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4" w:type="pct"/>
            <w:vMerge/>
            <w:tcBorders>
              <w:bottom w:val="single" w:sz="4" w:space="0" w:color="auto"/>
            </w:tcBorders>
            <w:vAlign w:val="center"/>
          </w:tcPr>
          <w:p w:rsidR="00DC58F6" w:rsidRPr="009F01A3" w:rsidRDefault="00DC58F6" w:rsidP="00DC58F6">
            <w:pPr>
              <w:autoSpaceDE w:val="0"/>
              <w:autoSpaceDN w:val="0"/>
              <w:adjustRightInd w:val="0"/>
              <w:contextualSpacing/>
              <w:jc w:val="center"/>
              <w:rPr>
                <w:rFonts w:ascii="Times New Roman" w:hAnsi="Times New Roman" w:cs="Times New Roman"/>
                <w:b/>
                <w:bCs/>
                <w:sz w:val="16"/>
                <w:szCs w:val="16"/>
                <w:lang w:val="en-US"/>
              </w:rPr>
            </w:pPr>
          </w:p>
        </w:tc>
        <w:tc>
          <w:tcPr>
            <w:tcW w:w="354" w:type="pct"/>
            <w:vMerge/>
            <w:tcBorders>
              <w:bottom w:val="single" w:sz="4" w:space="0" w:color="auto"/>
            </w:tcBorders>
            <w:vAlign w:val="center"/>
          </w:tcPr>
          <w:p w:rsidR="00DC58F6" w:rsidRPr="009F01A3" w:rsidRDefault="00DC58F6" w:rsidP="00DC58F6">
            <w:pPr>
              <w:autoSpaceDE w:val="0"/>
              <w:autoSpaceDN w:val="0"/>
              <w:adjustRightInd w:val="0"/>
              <w:contextualSpacing/>
              <w:jc w:val="center"/>
              <w:rPr>
                <w:rFonts w:ascii="Times New Roman" w:hAnsi="Times New Roman" w:cs="Times New Roman"/>
                <w:b/>
                <w:bCs/>
                <w:sz w:val="16"/>
                <w:szCs w:val="16"/>
                <w:lang w:val="en-US"/>
              </w:rPr>
            </w:pPr>
          </w:p>
        </w:tc>
        <w:tc>
          <w:tcPr>
            <w:tcW w:w="252" w:type="pct"/>
            <w:tcBorders>
              <w:bottom w:val="single" w:sz="4" w:space="0" w:color="auto"/>
            </w:tcBorders>
            <w:vAlign w:val="center"/>
          </w:tcPr>
          <w:p w:rsidR="00DC58F6" w:rsidRPr="009F01A3"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202" w:type="pct"/>
            <w:tcBorders>
              <w:bottom w:val="single" w:sz="4" w:space="0" w:color="auto"/>
            </w:tcBorders>
            <w:vAlign w:val="center"/>
          </w:tcPr>
          <w:p w:rsidR="00DC58F6" w:rsidRPr="009F01A3"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Men</w:t>
            </w:r>
          </w:p>
        </w:tc>
        <w:tc>
          <w:tcPr>
            <w:tcW w:w="303" w:type="pct"/>
            <w:tcBorders>
              <w:bottom w:val="single" w:sz="4" w:space="0" w:color="auto"/>
            </w:tcBorders>
            <w:vAlign w:val="center"/>
          </w:tcPr>
          <w:p w:rsidR="00DC58F6" w:rsidRPr="009F01A3"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Women</w:t>
            </w:r>
          </w:p>
        </w:tc>
        <w:tc>
          <w:tcPr>
            <w:tcW w:w="291" w:type="pct"/>
            <w:tcBorders>
              <w:bottom w:val="single" w:sz="4" w:space="0" w:color="auto"/>
            </w:tcBorders>
            <w:vAlign w:val="center"/>
          </w:tcPr>
          <w:p w:rsidR="00DC58F6" w:rsidRPr="009F01A3" w:rsidRDefault="00DC58F6" w:rsidP="00DC58F6">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Overall</w:t>
            </w:r>
          </w:p>
        </w:tc>
      </w:tr>
      <w:tr w:rsidR="00DC58F6" w:rsidRPr="009F01A3" w:rsidTr="009C09C1">
        <w:trPr>
          <w:trHeight w:val="96"/>
        </w:trPr>
        <w:tc>
          <w:tcPr>
            <w:tcW w:w="415" w:type="pct"/>
            <w:tcBorders>
              <w:top w:val="single" w:sz="4" w:space="0" w:color="auto"/>
            </w:tcBorders>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 xml:space="preserve">Watts </w:t>
            </w:r>
            <w:r w:rsidRPr="009F01A3">
              <w:rPr>
                <w:rFonts w:ascii="Times New Roman" w:eastAsia="Times New Roman" w:hAnsi="Times New Roman" w:cs="Times New Roman"/>
                <w:color w:val="000000"/>
                <w:sz w:val="16"/>
                <w:szCs w:val="16"/>
                <w:vertAlign w:val="superscript"/>
                <w:lang w:val="en-US" w:eastAsia="pt-BR"/>
              </w:rPr>
              <w:fldChar w:fldCharType="begin"/>
            </w:r>
            <w:r w:rsidRPr="009F01A3">
              <w:rPr>
                <w:rFonts w:ascii="Times New Roman" w:eastAsia="Times New Roman" w:hAnsi="Times New Roman" w:cs="Times New Roman"/>
                <w:color w:val="000000"/>
                <w:sz w:val="16"/>
                <w:szCs w:val="16"/>
                <w:vertAlign w:val="superscript"/>
                <w:lang w:val="en-US" w:eastAsia="pt-BR"/>
              </w:rPr>
              <w:instrText xml:space="preserve"> ADDIN ZOTERO_ITEM CSL_CITATION {"citationID":"afdrjf43tr","properties":{"formattedCitation":"(49)","plainCitation":"(49)","noteIndex":0},"citationItems":[{"id":"mvNZPZfg/QNiWWC2r","uris":["http://zotero.org/users/local/lLjYRh4M/items/7422W23D"],"uri":["http://zotero.org/users/local/lLjYRh4M/items/7422W23D"],"itemData":{"id":149,"type":"article-journal","title":"Association between parasitic infections and tuberculin skin test results in refugees","container-title":"Travel Med Infect Dis","page":"35-40","volume":"16","source":"Nlm","archive_location":"28342825","abstract":"BACKGROUND: Parasitic infections are known to modulate the immune response necessary for controlling Mycobacterium tuberculosis infection. We sought to investigate species-specific effects of parasite infection on M. tuberculosis infection. METHODS: As part of the Refugee Health Assessment Program, stool examinations and tuberculin skin testing were performed on refugees seen at Boston Medical Center between 1995 and 2012. Tuberculin skin test (TST) and stool examination data were collected for 6669 refugees; 3349 (50.2%) were TST positive (&gt;/=10 mm). RESULTS: Among TST-positive subjects, 176 (5.3%) had helminth infections and 1149 (34.3%) protozoa. After adjusting for sex, age, and country of origin, helminth and protozoan infections were not associated with TST-positivity. When species-specific effects were examined, subjects infected with Trichuris trichiura and Giardia lamblia had reduced odds of TST-positivity (adjusted OR [aOR] 0.65 [95%CI 0.44-0.96; p = 0.03] and aOR 0.79 [95%CI 0.65-0.95, p = 0.01], respectively). CONCLUSIONS: Our findings suggest that T. trichiura and G. lamblia may provide protection against M. tuberculosis infection. This study adds to a growing body of literature suggesting that immune response modulation and susceptibility to M. tuberculosis infection is parasite species-dependent.","DOI":"10.1016/j.tmaid.2017.03.007","ISSN":"1477-8939","shortTitle":"Association between parasitic infections and tuberculin skin test results in refugees","journalAbbreviation":"Travel medicine and infectious disease","language":"eng","author":[{"family":"Watts","given":"N. S."},{"family":"Mizinduko","given":"M. M."},{"family":"Barnett","given":"E. D."},{"family":"White","given":"L. F."},{"family":"Hochberg","given":"N. S."}],"issued":{"date-parts":[["2017",3]]}}}],"schema":"https://github.com/citation-style-language/schema/raw/master/csl-citation.json"} </w:instrText>
            </w:r>
            <w:r w:rsidRPr="009F01A3">
              <w:rPr>
                <w:rFonts w:ascii="Times New Roman" w:eastAsia="Times New Roman" w:hAnsi="Times New Roman" w:cs="Times New Roman"/>
                <w:color w:val="000000"/>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(49)</w:t>
            </w:r>
            <w:r w:rsidRPr="009F01A3">
              <w:rPr>
                <w:rFonts w:ascii="Times New Roman" w:eastAsia="Times New Roman" w:hAnsi="Times New Roman" w:cs="Times New Roman"/>
                <w:color w:val="000000"/>
                <w:sz w:val="16"/>
                <w:szCs w:val="16"/>
                <w:vertAlign w:val="superscript"/>
                <w:lang w:val="en-US" w:eastAsia="pt-BR"/>
              </w:rPr>
              <w:fldChar w:fldCharType="end"/>
            </w:r>
          </w:p>
        </w:tc>
        <w:tc>
          <w:tcPr>
            <w:tcW w:w="353" w:type="pct"/>
            <w:tcBorders>
              <w:top w:val="single" w:sz="4" w:space="0" w:color="auto"/>
            </w:tcBorders>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2017</w:t>
            </w:r>
          </w:p>
        </w:tc>
        <w:tc>
          <w:tcPr>
            <w:tcW w:w="303" w:type="pct"/>
            <w:tcBorders>
              <w:top w:val="single" w:sz="4" w:space="0" w:color="auto"/>
            </w:tcBorders>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USA</w:t>
            </w:r>
          </w:p>
        </w:tc>
        <w:tc>
          <w:tcPr>
            <w:tcW w:w="354" w:type="pct"/>
            <w:tcBorders>
              <w:top w:val="single" w:sz="4" w:space="0" w:color="auto"/>
            </w:tcBorders>
            <w:vAlign w:val="center"/>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Mixed</w:t>
            </w:r>
          </w:p>
        </w:tc>
        <w:tc>
          <w:tcPr>
            <w:tcW w:w="556" w:type="pct"/>
            <w:tcBorders>
              <w:top w:val="single" w:sz="4" w:space="0" w:color="auto"/>
            </w:tcBorders>
          </w:tcPr>
          <w:p w:rsidR="00DC58F6" w:rsidRPr="009F01A3" w:rsidRDefault="00DC58F6" w:rsidP="00DC58F6">
            <w:pPr>
              <w:rPr>
                <w:rFonts w:ascii="Times New Roman" w:eastAsia="Calibri" w:hAnsi="Times New Roman" w:cs="Times New Roman"/>
                <w:color w:val="000000"/>
                <w:sz w:val="16"/>
                <w:szCs w:val="16"/>
                <w:lang w:val="en-US" w:eastAsia="pt-BR"/>
              </w:rPr>
            </w:pPr>
            <w:r w:rsidRPr="009F01A3">
              <w:rPr>
                <w:rFonts w:ascii="Times New Roman" w:eastAsia="Calibri" w:hAnsi="Times New Roman" w:cs="Times New Roman"/>
                <w:color w:val="000000"/>
                <w:sz w:val="16"/>
                <w:szCs w:val="16"/>
                <w:lang w:val="en-US" w:eastAsia="pt-BR"/>
              </w:rPr>
              <w:t>Africa; America; Europe; Eastern Mediterranean; Southeast Asia; West Pacific</w:t>
            </w:r>
          </w:p>
        </w:tc>
        <w:tc>
          <w:tcPr>
            <w:tcW w:w="202" w:type="pct"/>
            <w:tcBorders>
              <w:top w:val="single" w:sz="4" w:space="0" w:color="auto"/>
            </w:tcBorders>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1995</w:t>
            </w:r>
          </w:p>
        </w:tc>
        <w:tc>
          <w:tcPr>
            <w:tcW w:w="202" w:type="pct"/>
            <w:tcBorders>
              <w:top w:val="single" w:sz="4" w:space="0" w:color="auto"/>
            </w:tcBorders>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2012</w:t>
            </w:r>
          </w:p>
        </w:tc>
        <w:tc>
          <w:tcPr>
            <w:tcW w:w="303" w:type="pct"/>
            <w:tcBorders>
              <w:top w:val="single" w:sz="4" w:space="0" w:color="auto"/>
            </w:tcBorders>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Symptomatic</w:t>
            </w:r>
          </w:p>
        </w:tc>
        <w:tc>
          <w:tcPr>
            <w:tcW w:w="303" w:type="pct"/>
            <w:tcBorders>
              <w:top w:val="single" w:sz="4" w:space="0" w:color="auto"/>
            </w:tcBorders>
          </w:tcPr>
          <w:p w:rsidR="00DC58F6" w:rsidRPr="009F01A3" w:rsidRDefault="00DC58F6" w:rsidP="00DC58F6">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6,669</w:t>
            </w:r>
          </w:p>
        </w:tc>
        <w:tc>
          <w:tcPr>
            <w:tcW w:w="303" w:type="pct"/>
            <w:tcBorders>
              <w:top w:val="single" w:sz="4" w:space="0" w:color="auto"/>
            </w:tcBorders>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47</w:t>
            </w:r>
          </w:p>
        </w:tc>
        <w:tc>
          <w:tcPr>
            <w:tcW w:w="304" w:type="pct"/>
            <w:tcBorders>
              <w:top w:val="single" w:sz="4" w:space="0" w:color="auto"/>
            </w:tcBorders>
          </w:tcPr>
          <w:p w:rsidR="00DC58F6" w:rsidRPr="009F01A3" w:rsidRDefault="00DC58F6" w:rsidP="00DC58F6">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Borders>
              <w:top w:val="single" w:sz="4" w:space="0" w:color="auto"/>
            </w:tcBorders>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Borders>
              <w:top w:val="single" w:sz="4" w:space="0" w:color="auto"/>
            </w:tcBorders>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eastAsia="Calibri" w:hAnsi="Times New Roman" w:cs="Times New Roman"/>
                <w:sz w:val="16"/>
                <w:szCs w:val="16"/>
                <w:lang w:val="en-US"/>
              </w:rPr>
              <w:t>10</w:t>
            </w:r>
          </w:p>
        </w:tc>
        <w:tc>
          <w:tcPr>
            <w:tcW w:w="202" w:type="pct"/>
            <w:tcBorders>
              <w:top w:val="single" w:sz="4" w:space="0" w:color="auto"/>
            </w:tcBorders>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54.2</w:t>
            </w:r>
          </w:p>
        </w:tc>
        <w:tc>
          <w:tcPr>
            <w:tcW w:w="303" w:type="pct"/>
            <w:tcBorders>
              <w:top w:val="single" w:sz="4" w:space="0" w:color="auto"/>
            </w:tcBorders>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45.7</w:t>
            </w:r>
          </w:p>
        </w:tc>
        <w:tc>
          <w:tcPr>
            <w:tcW w:w="291" w:type="pct"/>
            <w:tcBorders>
              <w:top w:val="single" w:sz="4" w:space="0" w:color="auto"/>
            </w:tcBorders>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50.21</w:t>
            </w:r>
          </w:p>
        </w:tc>
      </w:tr>
      <w:tr w:rsidR="00DC58F6" w:rsidRPr="009F01A3" w:rsidTr="009C09C1">
        <w:tc>
          <w:tcPr>
            <w:tcW w:w="415" w:type="pct"/>
          </w:tcPr>
          <w:p w:rsidR="00DC58F6" w:rsidRPr="009F01A3" w:rsidRDefault="00DC58F6" w:rsidP="00DC58F6">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sz w:val="16"/>
                <w:szCs w:val="16"/>
                <w:lang w:val="en-US" w:eastAsia="pt-BR"/>
              </w:rPr>
              <w:t>Padovese</w:t>
            </w:r>
            <w:proofErr w:type="spellEnd"/>
            <w:r w:rsidRPr="009F01A3">
              <w:rPr>
                <w:rFonts w:ascii="Times New Roman" w:eastAsia="Times New Roman" w:hAnsi="Times New Roman" w:cs="Times New Roman"/>
                <w:sz w:val="16"/>
                <w:szCs w:val="16"/>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18ivij3n5j","properties":{"formattedCitation":"(50)","plainCitation":"(50)","noteIndex":0},"citationItems":[{"id":"mvNZPZfg/sYkyWCjE","uris":["http://zotero.org/users/local/lLjYRh4M/items/MVBHHTPL"],"uri":["http://zotero.org/users/local/lLjYRh4M/items/MVBHHTPL"],"itemData":{"id":74,"type":"article-journal","title":"Prevalence of latent tuberculosis, syphilis, hepatitis B and C among asylum seekers in Malta","container-title":"J Public Health (Oxf)","page":"22-7","volume":"36","issue":"1","source":"NLM","archive_location":"23559596","abstract":"BACKGROUND: In the last few years, Malta has witnessed increasing immigration flows from the Libyan coasts. Public health policies are focused on screening migrants for tuberculosis, whereas no systematic actions against STIs are implemented. The aim of this study is to define the epidemiological profile of asylum seekers in Malta as regards syphilis, hepatitis B, C and latent tuberculosis, thus supporting screening policies. METHODS: Five hundred migrants living in open centres were screened between December 2010 and June 2011. RESULTS: 83.2% of people was from Somalia, 81.2% males, average age 26.5 years. The tuberculin skin test (TST) was positive in 225 migrants (45%). Latent syphilis was diagnosed in 11 migrants, hepatitis C in 3 and 31 migrants were HBsAg positive. CONCLUSION: Systematic screening for asymptomatic migrants in Malta is not recommended for hepatitis C and syphilis, given the low prevalence observed. On the contrary, it should be considered for hepatitis B. TST could be indicated as the first step of a two step screening for migrants from countries with high TB incidence. Efficacy and cost-effectiveness could be achieved by further targeting screening to specific subgroups at higher risk of reactivation, such as people living with HIV and subjects affected by chronic diseases.","DOI":"10.1093/pubmed/fdt036","ISSN":"1741-3842","shortTitle":"Prevalence of latent tuberculosis, syphilis, hepatitis B and C among asylum seekers in Malta","journalAbbreviation":"Journal of public health (Oxford, England)","language":"eng","author":[{"family":"Padovese","given":"V."},{"family":"Egidi","given":"A. M."},{"family":"Melillo","given":"T. F."},{"family":"Farrugia","given":"B."},{"family":"Carabot","given":"P."},{"family":"Didero","given":"D."},{"family":"Costanzo","given":"G."},{"family":"Mirisola","given":"C."}],"issued":{"date-parts":[["2014",3]]}}}],"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(50)</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2013</w:t>
            </w:r>
          </w:p>
        </w:tc>
        <w:tc>
          <w:tcPr>
            <w:tcW w:w="30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Malta</w:t>
            </w:r>
          </w:p>
        </w:tc>
        <w:tc>
          <w:tcPr>
            <w:tcW w:w="354" w:type="pct"/>
            <w:vAlign w:val="center"/>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Asylum Seeker</w:t>
            </w:r>
          </w:p>
        </w:tc>
        <w:tc>
          <w:tcPr>
            <w:tcW w:w="556"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Somalia; Eritrea; Ethiopia; Western Africa</w:t>
            </w:r>
          </w:p>
        </w:tc>
        <w:tc>
          <w:tcPr>
            <w:tcW w:w="202"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2010</w:t>
            </w:r>
          </w:p>
        </w:tc>
        <w:tc>
          <w:tcPr>
            <w:tcW w:w="202"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2011</w:t>
            </w:r>
          </w:p>
        </w:tc>
        <w:tc>
          <w:tcPr>
            <w:tcW w:w="303" w:type="pct"/>
          </w:tcPr>
          <w:p w:rsidR="00DC58F6" w:rsidRPr="009F01A3" w:rsidRDefault="00DC58F6" w:rsidP="00DC58F6">
            <w:pPr>
              <w:rPr>
                <w:rFonts w:ascii="Times New Roman" w:eastAsia="Times New Roman" w:hAnsi="Times New Roman" w:cs="Times New Roman"/>
                <w:color w:val="000000"/>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DC58F6" w:rsidRPr="009F01A3" w:rsidRDefault="00DC58F6" w:rsidP="00DC58F6">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500</w:t>
            </w:r>
          </w:p>
        </w:tc>
        <w:tc>
          <w:tcPr>
            <w:tcW w:w="303" w:type="pct"/>
          </w:tcPr>
          <w:p w:rsidR="00DC58F6" w:rsidRPr="009F01A3" w:rsidRDefault="00DC58F6" w:rsidP="00DC58F6">
            <w:pPr>
              <w:jc w:val="center"/>
              <w:rPr>
                <w:rFonts w:ascii="Times New Roman" w:eastAsia="Calibri" w:hAnsi="Times New Roman" w:cs="Times New Roman"/>
                <w:sz w:val="16"/>
                <w:szCs w:val="16"/>
                <w:lang w:val="en-US"/>
              </w:rPr>
            </w:pPr>
            <w:r w:rsidRPr="009F01A3">
              <w:rPr>
                <w:rFonts w:ascii="Times New Roman" w:hAnsi="Times New Roman" w:cs="Times New Roman"/>
                <w:sz w:val="16"/>
                <w:szCs w:val="16"/>
                <w:lang w:val="en-US"/>
              </w:rPr>
              <w:t>18.8</w:t>
            </w:r>
          </w:p>
        </w:tc>
        <w:tc>
          <w:tcPr>
            <w:tcW w:w="304" w:type="pct"/>
          </w:tcPr>
          <w:p w:rsidR="00DC58F6" w:rsidRPr="009F01A3" w:rsidRDefault="00DC58F6" w:rsidP="00DC58F6">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DC58F6" w:rsidRPr="009F01A3" w:rsidRDefault="00DC58F6" w:rsidP="00DC58F6">
            <w:pPr>
              <w:jc w:val="center"/>
              <w:rPr>
                <w:rFonts w:ascii="Times New Roman" w:eastAsia="Calibri"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49.60</w:t>
            </w:r>
          </w:p>
        </w:tc>
      </w:tr>
      <w:tr w:rsidR="00DC58F6" w:rsidRPr="009F01A3" w:rsidTr="009C09C1">
        <w:tc>
          <w:tcPr>
            <w:tcW w:w="415" w:type="pct"/>
          </w:tcPr>
          <w:p w:rsidR="00DC58F6" w:rsidRPr="009F01A3" w:rsidRDefault="00DC58F6" w:rsidP="00DC58F6">
            <w:pPr>
              <w:rPr>
                <w:rFonts w:ascii="Times New Roman" w:eastAsia="Times New Roman" w:hAnsi="Times New Roman" w:cs="Times New Roman"/>
                <w:color w:val="000000"/>
                <w:sz w:val="16"/>
                <w:szCs w:val="16"/>
                <w:lang w:val="en-US" w:eastAsia="pt-BR"/>
              </w:rPr>
            </w:pPr>
            <w:r w:rsidRPr="009F01A3">
              <w:rPr>
                <w:rFonts w:ascii="Times New Roman" w:eastAsia="Times New Roman" w:hAnsi="Times New Roman" w:cs="Times New Roman"/>
                <w:sz w:val="16"/>
                <w:szCs w:val="16"/>
                <w:lang w:val="en-US" w:eastAsia="pt-BR"/>
              </w:rPr>
              <w:t xml:space="preserve">Liu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2ej4b1ft3r","properties":{"formattedCitation":"(94)","plainCitation":"(94)","noteIndex":0},"citationItems":[{"id":"mvNZPZfg/HBvNT1wO","uris":["http://zotero.org/users/local/lLjYRh4M/items/7K3W3SV5"],"uri":["http://zotero.org/users/local/lLjYRh4M/items/7K3W3SV5"],"itemData":{"id":52,"type":"article-journal","title":"Overseas screening for tuberculosis in U.S.-bound immigrants and refugees","container-title":"N Engl J Med","page":"2406-15","volume":"360","issue":"23","source":"NLM","archive_location":"19494216","abstract":"BACKGROUND: In 2007, a total of 57.8% of the 13,293 new cases of tuberculosis in the United States were diagnosed in foreign-born persons, and the tuberculosis rate among foreign-born persons was 9.8 times as high as that among U.S.-born persons (20.6 vs. 2.1 cases per 100,000 population). Annual arrivals of approximately 400,000 immigrants and 50,000 to 70,000 refugees from overseas are likely to contribute substantially to the tuberculosis burden among foreign-born persons in the United States. METHODS: The Centers for Disease Control and Prevention (CDC) collects information on overseas screening for tuberculosis among U.S.-bound immigrants and refugees, along with follow-up evaluation after their arrival in the United States. We analyzed screening and follow-up data from the CDC to study the epidemiology of tuberculosis in these populations. RESULTS: From 1999 through 2005, a total of 26,075 smear-negative cases of tuberculosis (i.e., cases in which a chest radiograph was suggestive of active tuberculosis but sputum smears were negative for acid-fast bacilli on 3 consecutive days) and 22,716 cases of inactive tuberculosis (i.e., cases in which a chest radiograph was suggestive of tuberculosis that was no longer clinically active) were diagnosed by overseas medical screening of 2,714,223 U.S.-bound immigrants, representing prevalences of 961 cases per 100,000 persons (95% confidence interval [CI], 949 to 973) and 837 cases per 100,000 persons (95% CI, 826 to 848), respectively. Among 378,506 U.S.-bound refugees, smear-negative tuberculosis was diagnosed in 3923 and inactive tuberculosis in 10,743, representing prevalences of 1036 cases per 100,000 persons (95% CI, 1004 to 1068) and 2838 cases per 100,000 persons (95% CI, 2785 to 2891), respectively. Active pulmonary tuberculosis was diagnosed in the United States in 7.0% of immigrants and refugees with an overseas diagnosis of smear-negative tuberculosis and in 1.6% of those with an overseas diagnosis of inactive tuberculosis. CONCLUSIONS: Overseas screening for tuberculosis with follow-up evaluation after arrival in the United States is a high-yield intervention for identifying tuberculosis in U.S.-bound immigrants and refugees and could reduce the number of tuberculosis cases among foreign-born persons in the United States.","DOI":"10.1056/NEJMoa0809497","ISSN":"0028-4793","shortTitle":"Overseas screening for tuberculosis in U.S.-bound immigrants and refugees","journalAbbreviation":"The New England journal of medicine","language":"eng","author":[{"family":"Liu","given":"Y."},{"family":"Weinberg","given":"M. S."},{"family":"Ortega","given":"L. S."},{"family":"Painter","given":"J. A."},{"family":"Maloney","given":"S. A."}],"issued":{"date-parts":[["2009",6,4]]}}}],"schema":"https://github.com/citation-style-language/schema/raw/master/csl-citation.json"}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(94)</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DC58F6" w:rsidRPr="009F01A3" w:rsidRDefault="00DC58F6" w:rsidP="00DC58F6">
            <w:pPr>
              <w:rPr>
                <w:rFonts w:ascii="Times New Roman" w:eastAsia="Times New Roman" w:hAnsi="Times New Roman" w:cs="Times New Roman"/>
                <w:color w:val="000000"/>
                <w:sz w:val="16"/>
                <w:szCs w:val="16"/>
                <w:lang w:val="en-US" w:eastAsia="pt-BR"/>
              </w:rPr>
            </w:pPr>
            <w:r w:rsidRPr="009F01A3">
              <w:rPr>
                <w:rFonts w:ascii="Times New Roman" w:eastAsia="Times New Roman" w:hAnsi="Times New Roman" w:cs="Times New Roman"/>
                <w:sz w:val="16"/>
                <w:szCs w:val="16"/>
                <w:lang w:val="en-US" w:eastAsia="pt-BR"/>
              </w:rPr>
              <w:t>2009</w:t>
            </w:r>
          </w:p>
        </w:tc>
        <w:tc>
          <w:tcPr>
            <w:tcW w:w="303" w:type="pct"/>
          </w:tcPr>
          <w:p w:rsidR="00DC58F6" w:rsidRPr="009F01A3" w:rsidRDefault="00DC58F6" w:rsidP="00DC58F6">
            <w:pPr>
              <w:rPr>
                <w:rFonts w:ascii="Times New Roman" w:eastAsia="Times New Roman" w:hAnsi="Times New Roman" w:cs="Times New Roman"/>
                <w:color w:val="000000"/>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vAlign w:val="center"/>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Ukraine; Vietnam; Somalia; Bosnia; Sudan</w:t>
            </w:r>
          </w:p>
        </w:tc>
        <w:tc>
          <w:tcPr>
            <w:tcW w:w="202" w:type="pct"/>
          </w:tcPr>
          <w:p w:rsidR="00DC58F6" w:rsidRPr="009F01A3" w:rsidRDefault="00DC58F6" w:rsidP="00DC58F6">
            <w:pPr>
              <w:rPr>
                <w:rFonts w:ascii="Times New Roman" w:eastAsia="Calibri" w:hAnsi="Times New Roman" w:cs="Times New Roman"/>
                <w:color w:val="000000"/>
                <w:sz w:val="16"/>
                <w:szCs w:val="16"/>
                <w:lang w:val="en-US" w:eastAsia="pt-BR"/>
              </w:rPr>
            </w:pPr>
            <w:r w:rsidRPr="009F01A3">
              <w:rPr>
                <w:rFonts w:ascii="Times New Roman" w:eastAsia="Calibri" w:hAnsi="Times New Roman" w:cs="Times New Roman"/>
                <w:sz w:val="16"/>
                <w:szCs w:val="16"/>
                <w:lang w:val="en-US" w:eastAsia="pt-BR"/>
              </w:rPr>
              <w:t>1999</w:t>
            </w:r>
          </w:p>
        </w:tc>
        <w:tc>
          <w:tcPr>
            <w:tcW w:w="202" w:type="pct"/>
          </w:tcPr>
          <w:p w:rsidR="00DC58F6" w:rsidRPr="009F01A3" w:rsidRDefault="00DC58F6" w:rsidP="00DC58F6">
            <w:pPr>
              <w:rPr>
                <w:rFonts w:ascii="Times New Roman" w:eastAsia="Calibri" w:hAnsi="Times New Roman" w:cs="Times New Roman"/>
                <w:color w:val="000000"/>
                <w:sz w:val="16"/>
                <w:szCs w:val="16"/>
                <w:lang w:val="en-US" w:eastAsia="pt-BR"/>
              </w:rPr>
            </w:pPr>
            <w:r w:rsidRPr="009F01A3">
              <w:rPr>
                <w:rFonts w:ascii="Times New Roman" w:eastAsia="Calibri" w:hAnsi="Times New Roman" w:cs="Times New Roman"/>
                <w:sz w:val="16"/>
                <w:szCs w:val="16"/>
                <w:lang w:val="en-US" w:eastAsia="pt-BR"/>
              </w:rPr>
              <w:t>2005</w:t>
            </w:r>
          </w:p>
        </w:tc>
        <w:tc>
          <w:tcPr>
            <w:tcW w:w="30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DC58F6" w:rsidRPr="009F01A3" w:rsidRDefault="00DC58F6" w:rsidP="00DC58F6">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9,132</w:t>
            </w:r>
          </w:p>
        </w:tc>
        <w:tc>
          <w:tcPr>
            <w:tcW w:w="303"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sz w:val="16"/>
                <w:szCs w:val="16"/>
                <w:lang w:val="en-US"/>
              </w:rPr>
              <w:t>40.2</w:t>
            </w:r>
          </w:p>
        </w:tc>
        <w:tc>
          <w:tcPr>
            <w:tcW w:w="304" w:type="pct"/>
          </w:tcPr>
          <w:p w:rsidR="00DC58F6" w:rsidRPr="009F01A3" w:rsidRDefault="00DC58F6" w:rsidP="00DC58F6">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252" w:type="pct"/>
          </w:tcPr>
          <w:p w:rsidR="00DC58F6" w:rsidRPr="009F01A3" w:rsidRDefault="00DC58F6" w:rsidP="00DC58F6">
            <w:pPr>
              <w:jc w:val="center"/>
              <w:rPr>
                <w:rFonts w:ascii="Times New Roman" w:eastAsia="Calibri" w:hAnsi="Times New Roman" w:cs="Times New Roman"/>
                <w:sz w:val="16"/>
                <w:szCs w:val="16"/>
                <w:lang w:val="en-US"/>
              </w:rPr>
            </w:pPr>
            <w:r w:rsidRPr="009F01A3">
              <w:rPr>
                <w:rFonts w:ascii="Times New Roman" w:hAnsi="Times New Roman" w:cs="Times New Roman"/>
                <w:sz w:val="16"/>
                <w:szCs w:val="16"/>
                <w:lang w:val="en-US"/>
              </w:rPr>
              <w:t>NI</w:t>
            </w:r>
          </w:p>
        </w:tc>
        <w:tc>
          <w:tcPr>
            <w:tcW w:w="202"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49.17</w:t>
            </w:r>
          </w:p>
        </w:tc>
      </w:tr>
      <w:tr w:rsidR="00DC58F6" w:rsidRPr="00DC58F6" w:rsidTr="009C09C1">
        <w:tc>
          <w:tcPr>
            <w:tcW w:w="415" w:type="pct"/>
          </w:tcPr>
          <w:p w:rsidR="00DC58F6" w:rsidRPr="009F01A3" w:rsidRDefault="00DC58F6" w:rsidP="00DC58F6">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sz w:val="16"/>
                <w:szCs w:val="16"/>
                <w:lang w:val="en-US" w:eastAsia="pt-BR"/>
              </w:rPr>
              <w:t>Harstad</w:t>
            </w:r>
            <w:proofErr w:type="spellEnd"/>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2if1javmo6","properties":{"formattedCitation":"(95)","plainCitation":"(95)","noteIndex":0},"citationItems":[{"id":"mvNZPZfg/3fL90UOq","uris":["http://zotero.org/users/local/lLjYRh4M/items/ACCDL8Y7"],"uri":["http://zotero.org/users/local/lLjYRh4M/items/ACCDL8Y7"],"itemData":{"id":32,"type":"article-journal","title":"Tuberculosis screening and follow-up of asylum seekers in Norway: a cohort study","container-title":"BMC Public Health","page":"141","volume":"9","source":"NLM","archive_location":"19442260","abstract":"BACKGROUND: About 80% of new tuberculosis cases in Norway occur among immigrants from high incidence countries. On arrival to the country all asylum seekers are screened with Mantoux test and chest x-ray aimed to identify cases of active tuberculosis and, in the case of latent tuberculosis, to offer follow-up or prophylactic treatment.We assessed a national programme for screening, treatment and follow-up of tuberculosis infection and disease in a cohort of asylum seekers. METHODS: Asylum seekers &gt;or= 18 years who arrived at the National Reception Centre from January 2005 to June 2006, were included as the total cohort. Those with a Mantoux test &gt;or= 6 mm or positive x-ray findings were included in a study group for follow-up.Data were collected from public health authorities in the municipality to where the asylum seekers had moved, and from hospital based internists in case they had been referred to specialist care.Individual subjects included in the study group were matched with the Norwegian National Tuberculosis Register which receive reports of everybody diagnosed with active tuberculosis, or who had started treatment for latent tuberculosis. RESULTS: The total cohort included 4643 adult asylum seekers and 97.5% had a valid Mantoux test. At least one inclusion criterion was fulfilled by 2237 persons. By end 2007 municipal public health authorities had assessed 758 (34%) of them. Altogether 328 persons had been seen by an internist. Of 314 individuals with positive x-rays, 194 (62%) had seen an internist, while 86 of 568 with Mantoux &gt;or= 15, but negative x-rays (16%) were also seen by an internist. By December 31st 2006, 23 patients were diagnosed with tuberculosis (prevalence 1028/100 000) and another 11 were treated for latent infection. CONCLUSION: The coverage of screening was satisfactory, but fewer subjects than could have been expected from the national guidelines were followed up in the community and referred to an internist. To improve follow-up of screening results, a simplification of organisation and guidelines, introduction of quality assurance systems, and better coordination between authorities and between different levels of health care are all required.","DOI":"10.1186/1471-2458-9-141","ISSN":"1471-2458","shortTitle":"Tuberculosis screening and follow-up of asylum seekers in Norway: a cohort study","journalAbbreviation":"BMC public health","language":"eng","author":[{"family":"Harstad","given":"I."},{"family":"Heldal","given":"E."},{"family":"Steinshamn","given":"S. L."},{"family":"Garasen","given":"H."},{"family":"Jacobsen","given":"G. W."}],"issued":{"date-parts":[["2009"]]}}}],"schema":"https://github.com/citation-style-language/schema/raw/master/csl-citation.json"}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val="en-US" w:eastAsia="pt-BR"/>
              </w:rPr>
              <w:t>(95)</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2009</w:t>
            </w:r>
          </w:p>
        </w:tc>
        <w:tc>
          <w:tcPr>
            <w:tcW w:w="30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Norway</w:t>
            </w:r>
          </w:p>
        </w:tc>
        <w:tc>
          <w:tcPr>
            <w:tcW w:w="354" w:type="pct"/>
            <w:vAlign w:val="center"/>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Asylum Seeker</w:t>
            </w:r>
          </w:p>
        </w:tc>
        <w:tc>
          <w:tcPr>
            <w:tcW w:w="556"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Iraq; Somalia; Russia; Afghanistan; Serbia and Montenegro</w:t>
            </w:r>
          </w:p>
        </w:tc>
        <w:tc>
          <w:tcPr>
            <w:tcW w:w="202"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2005</w:t>
            </w:r>
          </w:p>
        </w:tc>
        <w:tc>
          <w:tcPr>
            <w:tcW w:w="202"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2006</w:t>
            </w:r>
          </w:p>
        </w:tc>
        <w:tc>
          <w:tcPr>
            <w:tcW w:w="30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DC58F6" w:rsidRPr="009F01A3" w:rsidRDefault="00DC58F6" w:rsidP="00DC58F6">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4,526</w:t>
            </w:r>
          </w:p>
        </w:tc>
        <w:tc>
          <w:tcPr>
            <w:tcW w:w="303"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30.6</w:t>
            </w:r>
          </w:p>
        </w:tc>
        <w:tc>
          <w:tcPr>
            <w:tcW w:w="304" w:type="pct"/>
          </w:tcPr>
          <w:p w:rsidR="00DC58F6" w:rsidRPr="009F01A3" w:rsidRDefault="00DC58F6" w:rsidP="00DC58F6">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6</w:t>
            </w:r>
          </w:p>
        </w:tc>
        <w:tc>
          <w:tcPr>
            <w:tcW w:w="202"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47.61</w:t>
            </w:r>
          </w:p>
        </w:tc>
      </w:tr>
      <w:tr w:rsidR="00DC58F6" w:rsidRPr="009F01A3" w:rsidTr="009C09C1">
        <w:tc>
          <w:tcPr>
            <w:tcW w:w="415" w:type="pct"/>
          </w:tcPr>
          <w:p w:rsidR="00DC58F6" w:rsidRPr="009F01A3" w:rsidRDefault="00DC58F6" w:rsidP="00DC58F6">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sz w:val="16"/>
                <w:szCs w:val="16"/>
                <w:lang w:val="en-US" w:eastAsia="pt-BR"/>
              </w:rPr>
              <w:t>Marras</w:t>
            </w:r>
            <w:proofErr w:type="spellEnd"/>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unfus1pfo","properties":{"formattedCitation":"(34)","plainCitation":"(34)","noteIndex":0},"citationItems":[{"id":"mvNZPZfg/ZseS4ozr","uris":["http://zotero.org/users/local/lLjYRh4M/items/KVA3L4TB"],"uri":["http://zotero.org/users/local/lLjYRh4M/items/KVA3L4TB"],"itemData":{"id":62,"type":"article-journal","title":"Tuberculosis among Tibetan refugee claimants in Toronto: 1998 to 2000","container-title":"Chest","page":"915-21","volume":"124","issue":"3","source":"NLM","archive_location":"12970017","abstract":"BACKGROUND AND OBJECTIVES: Between 1998 and 2000, approximately 525 Tibetan people previously living in the United States claimed refugee status in Canada, many of whom were referred to our centers for completion of tuberculosis (TB) screening. We reviewed TB-related outcomes in this cohort, to compare our experience with previously published work, and to assess follow-up after a stay in a low-incidence region. METHODS: We performed a retrospective study of all patients of Tibetan origin assessed at our centers (St. Michael's Hospital and West Park Healthcare Centre, both in Toronto) for completion of TB screening, referred because of abnormal chest radiographic findings or positive tuberculin skin test (TST) result. We compared rates of active and drug-resistant TB in our cohort with local and national rates, as well as those previously published in similar groups. RESULTS: One hundred eighty-nine individuals were referred to us for assessment, and 181 records were available for review. The mean duration of stay in Canada prior to presentation was 2.6 months, after having spent a mean of 11 months in the United States. Thirty-two percent of patients gave a history of previous TB, and 97% were TST positive. Culture-positive TB was diagnosed in 24 patients (13%, 4,571 per 100,000), 12 patients had at least one drug resistance (50% of cases), and 4 patients were resistant to at least isoniazid and rifampin (multidrug resistant, 17% of cases). INTERPRETATION: People from highly TB endemic areas retain a very high risk of active TB and drug resistance, despite an intervening period in a low-prevalence country. It is important to maintain a high degree of suspicion for TB in all people from high-incidence areas. Treatment of all cases of latent TB infection or ongoing medical surveillance is likely justified in this population.","ISSN":"0012-3692 (Print) 0012-3692","shortTitle":"Tuberculosis among Tibetan refugee claimants in Toronto: 1998 to 2000","journalAbbreviation":"Chest","language":"eng","author":[{"family":"Marras","given":"T. K."},{"family":"Wilson","given":"J."},{"family":"Wang","given":"E. E."},{"family":"Avendano","given":"M."},{"family":"Yang","given":"J. W."}],"issued":{"date-parts":[["2003",9]]}}}],"schema":"https://github.com/citation-style-language/schema/raw/master/csl-citation.json"}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(34)</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2003</w:t>
            </w:r>
          </w:p>
        </w:tc>
        <w:tc>
          <w:tcPr>
            <w:tcW w:w="30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Canada</w:t>
            </w:r>
          </w:p>
        </w:tc>
        <w:tc>
          <w:tcPr>
            <w:tcW w:w="354" w:type="pct"/>
            <w:vAlign w:val="center"/>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DC58F6" w:rsidRPr="009F01A3" w:rsidRDefault="00DC58F6" w:rsidP="00DC58F6">
            <w:pPr>
              <w:rPr>
                <w:rFonts w:ascii="Times New Roman" w:eastAsia="Calibri" w:hAnsi="Times New Roman" w:cs="Times New Roman"/>
                <w:color w:val="000000"/>
                <w:sz w:val="16"/>
                <w:szCs w:val="16"/>
                <w:lang w:val="en-US" w:eastAsia="pt-BR"/>
              </w:rPr>
            </w:pPr>
            <w:r w:rsidRPr="009F01A3">
              <w:rPr>
                <w:rFonts w:ascii="Times New Roman" w:eastAsia="Calibri" w:hAnsi="Times New Roman" w:cs="Times New Roman"/>
                <w:color w:val="000000"/>
                <w:sz w:val="16"/>
                <w:szCs w:val="16"/>
                <w:lang w:val="en-US" w:eastAsia="pt-BR"/>
              </w:rPr>
              <w:t>India; Tibet; Nepal</w:t>
            </w:r>
          </w:p>
        </w:tc>
        <w:tc>
          <w:tcPr>
            <w:tcW w:w="202"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1998</w:t>
            </w:r>
          </w:p>
        </w:tc>
        <w:tc>
          <w:tcPr>
            <w:tcW w:w="202"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2001</w:t>
            </w:r>
          </w:p>
        </w:tc>
        <w:tc>
          <w:tcPr>
            <w:tcW w:w="30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DC58F6" w:rsidRPr="009F01A3" w:rsidRDefault="00DC58F6" w:rsidP="00DC58F6">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181</w:t>
            </w:r>
          </w:p>
        </w:tc>
        <w:tc>
          <w:tcPr>
            <w:tcW w:w="303"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32.0</w:t>
            </w:r>
          </w:p>
        </w:tc>
        <w:tc>
          <w:tcPr>
            <w:tcW w:w="304" w:type="pct"/>
          </w:tcPr>
          <w:p w:rsidR="00DC58F6" w:rsidRPr="009F01A3" w:rsidRDefault="00DC58F6" w:rsidP="00DC58F6">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46.41</w:t>
            </w:r>
          </w:p>
        </w:tc>
      </w:tr>
      <w:tr w:rsidR="00DC58F6" w:rsidRPr="009F01A3" w:rsidTr="009C09C1">
        <w:tc>
          <w:tcPr>
            <w:tcW w:w="415"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Ouimet</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a75gmf95p","properties":{"formattedCitation":"(31)","plainCitation":"(31)","noteIndex":0},"citationItems":[{"id":"mvNZPZfg/UsZq4Cl7","uris":["http://zotero.org/users/local/lLjYRh4M/items/ZZB8VTA4"],"uri":["http://zotero.org/users/local/lLjYRh4M/items/ZZB8VTA4"],"itemData":{"id":72,"type":"article-journal","title":"Current pathologies in Montreal's asylum seekers","container-title":"Canadian Journal of Public Health-Revue Canadienne De Sante Publique","page":"499-504","volume":"99","issue":"6","archive_location":"WOS:000262007700015","abstract":"Background: Canada received 22,873 asylum seekers in 2006. The screening of specific health problems in this population seems warranted. This Study aims to estimate the prevalence of pathologies that were screened at the PRAIDA health service in Montreal, and to identify associations with certain risk factors. Methods: A retrospective study was conducted on the files of patients who were screened between 2000 and 2004. Demographic and clinical information was compiled for computation of prevalence as well as multiple logistic regression analysis. Results: Of the 289 files reviewed, 56.7% are for male and 43.3% for female patients, with a mean age of 34 years; 53% are Asians and 38% Africans. 59.4% of subjects received a psychiatric diagnosis (mainly depression and post-traumatic stress disorder). The paraclinical work-up showed: 20.3% anaemia, 9% eosinophilia, 29.7% HBcAb+, 5% HBsAg+, 1.51% hepatitis C (RNA+), 2.5% HIV+ and 45.9%, TST+. 10.5% of stool samples contained a pathogen, and serologies for strongyloidiasis and schistosomiasis were positive in 17.3% and 3.9% of samples respectively. Significant associations included female gender with anaemia, African origin with rates of HBcAb and TST+, age with HBcAb and hepatitis C positivity, longer length of stay in Canada with eosinophilia and strongyloidiasis, shorter length of stay with HBcAb, and Asian origin with psychiatric disorders. Conclusions: This study suggests that the prevalence of screened pathologies as part of the PRAIDA health service work-up are high in this population and therefore warrant continuation of their screening until guidelines are Constituted.","ISSN":"0008-4263","shortTitle":"Current pathologies in Montreal's asylum seekers","journalAbbreviation":"Can. J. Public Health-Rev. Can. Sante Publ.","language":"French","author":[{"family":"Ouimet","given":"M. J."},{"family":"Munoz","given":"M."},{"family":"Narasiah","given":"L."},{"family":"Rambure","given":"V."},{"family":"Correa","given":"J. A."}],"issued":{"date-parts":[["2008",11]]}}}],"schema":"https://github.com/citation-style-language/schema/raw/master/csl-citation.json"}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(31)</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2008</w:t>
            </w:r>
          </w:p>
        </w:tc>
        <w:tc>
          <w:tcPr>
            <w:tcW w:w="30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Canada</w:t>
            </w:r>
          </w:p>
        </w:tc>
        <w:tc>
          <w:tcPr>
            <w:tcW w:w="354" w:type="pct"/>
            <w:vAlign w:val="center"/>
          </w:tcPr>
          <w:p w:rsidR="00DC58F6" w:rsidRPr="009F01A3" w:rsidRDefault="00DC58F6" w:rsidP="00DC58F6">
            <w:pPr>
              <w:jc w:val="center"/>
              <w:rPr>
                <w:rFonts w:ascii="Times New Roman" w:eastAsia="Calibri" w:hAnsi="Times New Roman" w:cs="Times New Roman"/>
                <w:sz w:val="16"/>
                <w:szCs w:val="16"/>
                <w:lang w:val="en-US"/>
              </w:rPr>
            </w:pPr>
            <w:r w:rsidRPr="009F01A3">
              <w:rPr>
                <w:rFonts w:ascii="Times New Roman" w:hAnsi="Times New Roman" w:cs="Times New Roman"/>
                <w:color w:val="000000"/>
                <w:sz w:val="16"/>
                <w:szCs w:val="16"/>
                <w:lang w:val="en-US"/>
              </w:rPr>
              <w:t>Asylum Seeker</w:t>
            </w:r>
          </w:p>
        </w:tc>
        <w:tc>
          <w:tcPr>
            <w:tcW w:w="556"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India; Pakistan; Guinea; Congo; Nigeria; Ivory Coast; Cameroon; Siri Lanka; Mexico; Zimbabwe</w:t>
            </w:r>
          </w:p>
        </w:tc>
        <w:tc>
          <w:tcPr>
            <w:tcW w:w="202"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2000</w:t>
            </w:r>
          </w:p>
        </w:tc>
        <w:tc>
          <w:tcPr>
            <w:tcW w:w="202"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2004</w:t>
            </w:r>
          </w:p>
        </w:tc>
        <w:tc>
          <w:tcPr>
            <w:tcW w:w="30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Symptomatic</w:t>
            </w:r>
          </w:p>
        </w:tc>
        <w:tc>
          <w:tcPr>
            <w:tcW w:w="303" w:type="pct"/>
          </w:tcPr>
          <w:p w:rsidR="00DC58F6" w:rsidRPr="009F01A3" w:rsidRDefault="00DC58F6" w:rsidP="00DC58F6">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231</w:t>
            </w:r>
          </w:p>
        </w:tc>
        <w:tc>
          <w:tcPr>
            <w:tcW w:w="303"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eastAsia="Calibri" w:hAnsi="Times New Roman" w:cs="Times New Roman"/>
                <w:sz w:val="16"/>
                <w:szCs w:val="16"/>
                <w:lang w:val="en-US"/>
              </w:rPr>
              <w:t>43.2</w:t>
            </w:r>
          </w:p>
        </w:tc>
        <w:tc>
          <w:tcPr>
            <w:tcW w:w="304" w:type="pct"/>
          </w:tcPr>
          <w:p w:rsidR="00DC58F6" w:rsidRPr="009F01A3" w:rsidRDefault="00DC58F6" w:rsidP="00DC58F6">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eastAsia="Calibri" w:hAnsi="Times New Roman" w:cs="Times New Roman"/>
                <w:sz w:val="16"/>
                <w:szCs w:val="16"/>
                <w:lang w:val="en-US"/>
              </w:rPr>
              <w:t>NI</w:t>
            </w:r>
          </w:p>
        </w:tc>
        <w:tc>
          <w:tcPr>
            <w:tcW w:w="202"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45.89</w:t>
            </w:r>
          </w:p>
        </w:tc>
      </w:tr>
      <w:tr w:rsidR="00DC58F6" w:rsidRPr="009F01A3" w:rsidTr="009C09C1">
        <w:tc>
          <w:tcPr>
            <w:tcW w:w="415" w:type="pct"/>
          </w:tcPr>
          <w:p w:rsidR="00DC58F6" w:rsidRPr="009F01A3" w:rsidRDefault="00DC58F6" w:rsidP="00DC58F6">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sz w:val="16"/>
                <w:szCs w:val="16"/>
                <w:lang w:val="en-US" w:eastAsia="pt-BR"/>
              </w:rPr>
              <w:t>Weinfurter</w:t>
            </w:r>
            <w:proofErr w:type="spellEnd"/>
            <w:r w:rsidRPr="009F01A3">
              <w:rPr>
                <w:rFonts w:ascii="Times New Roman" w:eastAsia="Times New Roman" w:hAnsi="Times New Roman" w:cs="Times New Roman"/>
                <w:sz w:val="16"/>
                <w:szCs w:val="16"/>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hfgjvbc8b","properties":{"formattedCitation":"(96)","plainCitation":"(96)","noteIndex":0},"citationItems":[{"id":"mvNZPZfg/Q7yBWPiK","uris":["http://zotero.org/users/local/lLjYRh4M/items/E9WFPC9W"],"uri":["http://zotero.org/users/local/lLjYRh4M/items/E9WFPC9W"],"itemData":{"id":101,"type":"article-journal","title":"Predictors of discordant tuberculin skin test and QuantiFERON(R)-TB Gold In-Tube results in various high-risk groups","container-title":"Int J Tuberc Lung Dis","page":"1056-61","volume":"15","issue":"8","source":"NLM","archive_location":"21740668","abstract":"SETTING: Persons in whom targeted testing for latent tuberculosis infection (LTBI) is recommended in Seattle, Washington; Atlanta, Georgia; and central North Carolina, United States. OBJECTIVE: To compare the performance of an interferon-gamma release assay (QuantiFERON(R)-TB Gold In-Tube [QFT-GIT]) with the tuberculin skin test (TST) among foreign-born, homeless, human immunodeficiency virus (HIV) infected and substance abuse persons tested for LTBI. DESIGN: A cross-sectional study requiring participants to have a blood test, a TST and data collected. RESULTS: Of 1653 persons, 19.5% were TST-positive and 14.0% were QFT-GIT-positive. Overall concordance was moderate (kappa 0.53; 95%CI 0.47-0.58). Compared to concordant positive results, TST+/QFT-GIT- discordance was associated with HIV infection and sex, while TST-/QFT-GIT+ discordance was associated with HIV and inversely associated with foreign birth. Compared to concordant negative results, TST-/QFT-GIT+ discordance was associated with foreign birth and age &gt;/=50 years, while TST+/QFT-GIT-discordance was associated with foreign birth, age 30-49 years, being Black and inversely associated with HIV. HIV infection was significantly associated with indeterminate QFT-GIT results. CONCLUSION: QFT-GIT may be an improvement over the TST for diagnosing LTBI in foreign-born and older persons, and may be as useful as the TST in HIV-infected persons. The sensitivity of both tests may be low in HIV-infected persons.","DOI":"10.5588/ijtld.10.0650","ISSN":"1027-3719","shortTitle":"Predictors of discordant tuberculin skin test and QuantiFERON(R)-TB Gold In-Tube results in various high-risk groups","journalAbbreviation":"The international journal of tuberculosis and lung disease : the official journal of the International Union against Tuberculosis and Lung Disease","language":"eng","author":[{"family":"Weinfurter","given":"P."},{"family":"Blumberg","given":"H. M."},{"family":"Goldbaum","given":"G."},{"family":"Royce","given":"R."},{"family":"Pang","given":"J."},{"family":"Tapia","given":"J."},{"family":"Bethel","given":"J."},{"family":"Mazurek","given":"G. H."},{"family":"Toney","given":"S."},{"family":"Albalak","given":"R."}],"issued":{"date-parts":[["2011",8]]}}}],"schema":"https://github.com/citation-style-language/schema/raw/master/csl-citation.json"}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(96)</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2011</w:t>
            </w:r>
          </w:p>
        </w:tc>
        <w:tc>
          <w:tcPr>
            <w:tcW w:w="30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vAlign w:val="center"/>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NI</w:t>
            </w:r>
          </w:p>
        </w:tc>
        <w:tc>
          <w:tcPr>
            <w:tcW w:w="202"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2004</w:t>
            </w:r>
          </w:p>
        </w:tc>
        <w:tc>
          <w:tcPr>
            <w:tcW w:w="202"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2006</w:t>
            </w:r>
          </w:p>
        </w:tc>
        <w:tc>
          <w:tcPr>
            <w:tcW w:w="30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DC58F6" w:rsidRPr="009F01A3" w:rsidRDefault="00DC58F6" w:rsidP="00DC58F6">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594</w:t>
            </w:r>
          </w:p>
        </w:tc>
        <w:tc>
          <w:tcPr>
            <w:tcW w:w="303"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47.8</w:t>
            </w:r>
          </w:p>
        </w:tc>
        <w:tc>
          <w:tcPr>
            <w:tcW w:w="304" w:type="pct"/>
          </w:tcPr>
          <w:p w:rsidR="00DC58F6" w:rsidRPr="009F01A3" w:rsidRDefault="00DC58F6" w:rsidP="00DC58F6">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5</w:t>
            </w:r>
          </w:p>
        </w:tc>
        <w:tc>
          <w:tcPr>
            <w:tcW w:w="202"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45.62</w:t>
            </w:r>
          </w:p>
        </w:tc>
      </w:tr>
      <w:tr w:rsidR="00DC58F6" w:rsidRPr="009F01A3" w:rsidTr="009C09C1">
        <w:tc>
          <w:tcPr>
            <w:tcW w:w="415" w:type="pct"/>
          </w:tcPr>
          <w:p w:rsidR="00DC58F6" w:rsidRPr="009F01A3" w:rsidRDefault="00DC58F6" w:rsidP="00DC58F6">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sz w:val="16"/>
                <w:szCs w:val="16"/>
                <w:lang w:val="en-US" w:eastAsia="pt-BR"/>
              </w:rPr>
              <w:t>Pottie</w:t>
            </w:r>
            <w:proofErr w:type="spellEnd"/>
            <w:r w:rsidRPr="009F01A3">
              <w:rPr>
                <w:rFonts w:ascii="Times New Roman" w:eastAsia="Times New Roman" w:hAnsi="Times New Roman" w:cs="Times New Roman"/>
                <w:sz w:val="16"/>
                <w:szCs w:val="16"/>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11bm8pv7s7","properties":{"formattedCitation":"(57)","plainCitation":"(57)","noteIndex":0},"citationItems":[{"id":"mvNZPZfg/GQyIEV6v","uris":["http://zotero.org/users/local/lLjYRh4M/items/LUMVFFGA"],"uri":["http://zotero.org/users/local/lLjYRh4M/items/LUMVFFGA"],"itemData":{"id":76,"type":"article-journal","title":"Prevalence of selected preventable and treatable diseases among government-assisted refugees: Implications for primary care providers","container-title":"Can Fam Physician","page":"1928-34","volume":"53","issue":"11","source":"NLM","archive_location":"18000270","abstract":"OBJECTIVE: To discover the prevalence of 4 preventable and treatable diseases among newly arriving refugees. DESIGN: Retrospective cohort study. SETTING: An immigrant-friendly family medicine centre in Ottawa, Ont, that offers newly arriving refugees a clinical preventive program following a specially designed protocol. PARTICIPANTS: A total of 112 adult government-assisted refugees seen during 2004 and 2005 within 6 months of arrival. MAIN OUTCOME MEASURES: Demographic information and prevalence of HIV infection, latent tuberculosis (TB), chronic hepatitis B surface antigen-positive status, and intestinal parasites. RESULTS: Descriptive analysis revealed that 71% of the adults were younger than 35 years and 83% of them had come from sub-Saharan Africa. Disease prevalence rates were 6.3% for HIV (95% confidence interval [CI] 1.8 to 10.8), 49.5% for latent TB (95% CI 39.5 to 49.8), 5.4% for chronic hepatitis B surface antigen-positive status (95% CI 1.2 to 9.5), and 13.6% for intestinal parasites (95% CI 7.2 to 20.0). Most refugees (83%) successfully completed the preventive care program. Performing chi(2) analysis revealed a statistically significant higher risk of latent TB among the men (P &lt; .032). Most of the women had never had a Papanicolaou test. CONCLUSION: Refugees are a vulnerable population with unique, but often preventable or treatable, health issues. This study demonstrated substantial differences in the prevalence of HIV, TB, chronic hepatitis B, and intestinal parasites between government-assisted refugees and Canadian residents. These health disparities and the emerging field of health settlement are new challenges for family physicians and other primary health care providers.","ISSN":"0008-350x","shortTitle":"Prevalence of selected preventable and treatable diseases among government-assisted refugees: Implications for primary care providers","journalAbbreviation":"Canadian family physician Medecin de famille canadien","language":"eng","author":[{"family":"Pottie","given":"K."},{"family":"Janakiram","given":"P."},{"family":"Topp","given":"P."},{"family":"McCarthy","given":"A."}],"issued":{"date-parts":[["2007",11]]}}}],"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(57)</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2007</w:t>
            </w:r>
          </w:p>
        </w:tc>
        <w:tc>
          <w:tcPr>
            <w:tcW w:w="30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Canada</w:t>
            </w:r>
          </w:p>
        </w:tc>
        <w:tc>
          <w:tcPr>
            <w:tcW w:w="354" w:type="pct"/>
            <w:vAlign w:val="center"/>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Sub-Saharan Africa; North Africa; Middle East; Eastern Europe</w:t>
            </w:r>
          </w:p>
        </w:tc>
        <w:tc>
          <w:tcPr>
            <w:tcW w:w="202"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2004</w:t>
            </w:r>
          </w:p>
        </w:tc>
        <w:tc>
          <w:tcPr>
            <w:tcW w:w="202"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2005</w:t>
            </w:r>
          </w:p>
        </w:tc>
        <w:tc>
          <w:tcPr>
            <w:tcW w:w="30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DC58F6" w:rsidRPr="009F01A3" w:rsidRDefault="00DC58F6" w:rsidP="00DC58F6">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112</w:t>
            </w:r>
          </w:p>
        </w:tc>
        <w:tc>
          <w:tcPr>
            <w:tcW w:w="303"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59.8</w:t>
            </w:r>
          </w:p>
        </w:tc>
        <w:tc>
          <w:tcPr>
            <w:tcW w:w="304" w:type="pct"/>
          </w:tcPr>
          <w:p w:rsidR="00DC58F6" w:rsidRPr="009F01A3" w:rsidRDefault="00DC58F6" w:rsidP="00DC58F6">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55.6</w:t>
            </w:r>
          </w:p>
        </w:tc>
        <w:tc>
          <w:tcPr>
            <w:tcW w:w="303"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34.3</w:t>
            </w:r>
          </w:p>
        </w:tc>
        <w:tc>
          <w:tcPr>
            <w:tcW w:w="291"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42.86</w:t>
            </w:r>
          </w:p>
        </w:tc>
      </w:tr>
      <w:tr w:rsidR="00DC58F6" w:rsidRPr="009F01A3" w:rsidTr="009C09C1">
        <w:tc>
          <w:tcPr>
            <w:tcW w:w="415"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 xml:space="preserve">Moreno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2c4vn8s1hq","properties":{"formattedCitation":"(51)","plainCitation":"(51)","noteIndex":0},"citationItems":[{"id":"mvNZPZfg/YAms2GF9","uris":["http://zotero.org/users/local/lLjYRh4M/items/2ZFFZ3G9"],"uri":["http://zotero.org/users/local/lLjYRh4M/items/2ZFFZ3G9"],"itemData":{"id":66,"type":"article-journal","title":"Characteristics and utilization of primary care services in a torture rehabilitation center","container-title":"J Immigr Minor Health","page":"163-71","volume":"8","issue":"2","source":"NLM","archive_location":"16649131","abstract":"We conducted a retrospective chart review to look into the utilization of healthcare services of refugees. Between December 1998 and June 2001, 146 refugees received care at the Boston Center for Refugee Health and Human Rights. The mean age was 39+/- 1 years; 57% were males, and 84% were survivors of torture. A significant number of patients were diagnosed with major depression (70%), post-traumatic stress disorder (58%), past hepatitis A infection (77%), and tuberculosis classes 2 and 3 (42%). Patients had on average 2.3 +/- 0.1 initial health assessments visits and 3.6 +/- 0.3 primary care follow-up visits during a mean follow-up period of 12.8 +/- 0.8 months. Subjects with two or fewer initial health assessment visits were less likely to be undergoing psychological counseling (OR: 0.22; 95% CI:0.08-0.58), less likely to be seeking asylum (OR: 0.16; 95% CI: 0.06-0.43), and more likely to be self-referred (OR: 9.6; 95% CI:2.4-39.6). Four or fewer primary care follow-up visits were more likely in subjects who had no health insurance (OR: 7.2; 95% CI:2.0-25.5) and less likely in those referred for psychological counseling (OR: 0.017; 95% CI:0.05-0.54). Patients had a higher prevalence of mental health conditions than that reported in other studies and often declined diagnostic and therapeutic interventions.","DOI":"10.1007/s10903-006-8524-x","ISSN":"1557-1912 (Print) 1557-1912","shortTitle":"Characteristics and utilization of primary care services in a torture rehabilitation center","journalAbbreviation":"Journal of immigrant and minority health / Center for Minority Public Health","language":"eng","author":[{"family":"Moreno","given":"A."},{"family":"Piwowarczyk","given":"L."},{"family":"LaMorte","given":"W. W."},{"family":"Grodin","given":"M. A."}],"issued":{"date-parts":[["2006",4]]}}}],"schema":"https://github.com/citation-style-language/schema/raw/master/csl-citation.json"}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(51)</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2006</w:t>
            </w:r>
          </w:p>
        </w:tc>
        <w:tc>
          <w:tcPr>
            <w:tcW w:w="30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vAlign w:val="center"/>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Mixed</w:t>
            </w:r>
          </w:p>
        </w:tc>
        <w:tc>
          <w:tcPr>
            <w:tcW w:w="556"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Africa; Latin America; Asia; Europe</w:t>
            </w:r>
          </w:p>
        </w:tc>
        <w:tc>
          <w:tcPr>
            <w:tcW w:w="202"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1998</w:t>
            </w:r>
          </w:p>
        </w:tc>
        <w:tc>
          <w:tcPr>
            <w:tcW w:w="202" w:type="pct"/>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2001</w:t>
            </w:r>
          </w:p>
        </w:tc>
        <w:tc>
          <w:tcPr>
            <w:tcW w:w="303" w:type="pct"/>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DC58F6" w:rsidRPr="009F01A3" w:rsidRDefault="00DC58F6" w:rsidP="00DC58F6">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101</w:t>
            </w:r>
          </w:p>
        </w:tc>
        <w:tc>
          <w:tcPr>
            <w:tcW w:w="303"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43.2</w:t>
            </w:r>
          </w:p>
        </w:tc>
        <w:tc>
          <w:tcPr>
            <w:tcW w:w="304" w:type="pct"/>
          </w:tcPr>
          <w:p w:rsidR="00DC58F6" w:rsidRPr="009F01A3" w:rsidRDefault="00DC58F6" w:rsidP="00DC58F6">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202"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41.58</w:t>
            </w:r>
          </w:p>
        </w:tc>
      </w:tr>
      <w:tr w:rsidR="00DC58F6" w:rsidRPr="009F01A3" w:rsidTr="009C09C1">
        <w:tc>
          <w:tcPr>
            <w:tcW w:w="415" w:type="pct"/>
            <w:tcBorders>
              <w:bottom w:val="single" w:sz="4" w:space="0" w:color="auto"/>
            </w:tcBorders>
          </w:tcPr>
          <w:p w:rsidR="00DC58F6" w:rsidRPr="009F01A3" w:rsidRDefault="00DC58F6" w:rsidP="00DC58F6">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color w:val="000000"/>
                <w:sz w:val="16"/>
                <w:szCs w:val="16"/>
                <w:lang w:val="en-US" w:eastAsia="pt-BR"/>
              </w:rPr>
              <w:t>Bertelsen</w:t>
            </w:r>
            <w:proofErr w:type="spellEnd"/>
            <w:r w:rsidRPr="009F01A3">
              <w:rPr>
                <w:rFonts w:ascii="Times New Roman" w:eastAsia="Times New Roman" w:hAnsi="Times New Roman" w:cs="Times New Roman"/>
                <w:color w:val="000000"/>
                <w:sz w:val="16"/>
                <w:szCs w:val="16"/>
                <w:lang w:val="en-US" w:eastAsia="pt-BR"/>
              </w:rPr>
              <w:t xml:space="preserve"> </w:t>
            </w:r>
            <w:r w:rsidRPr="009F01A3">
              <w:rPr>
                <w:rFonts w:ascii="Times New Roman" w:eastAsia="Times New Roman" w:hAnsi="Times New Roman" w:cs="Times New Roman"/>
                <w:color w:val="000000"/>
                <w:sz w:val="16"/>
                <w:szCs w:val="16"/>
                <w:vertAlign w:val="superscript"/>
                <w:lang w:val="en-US" w:eastAsia="pt-BR"/>
              </w:rPr>
              <w:fldChar w:fldCharType="begin"/>
            </w:r>
            <w:r w:rsidRPr="009F01A3">
              <w:rPr>
                <w:rFonts w:ascii="Times New Roman" w:eastAsia="Times New Roman" w:hAnsi="Times New Roman" w:cs="Times New Roman"/>
                <w:color w:val="000000"/>
                <w:sz w:val="16"/>
                <w:szCs w:val="16"/>
                <w:vertAlign w:val="superscript"/>
                <w:lang w:val="en-US" w:eastAsia="pt-BR"/>
              </w:rPr>
              <w:instrText xml:space="preserve"> ADDIN ZOTERO_ITEM CSL_CITATION {"citationID":"a2eblbgap60","properties":{"formattedCitation":"(52)","plainCitation":"(52)","noteIndex":0},"citationItems":[{"id":"mvNZPZfg/Cw2ZOdAe","uris":["http://zotero.org/users/local/lLjYRh4M/items/R8RZ4SVU"],"uri":["http://zotero.org/users/local/lLjYRh4M/items/R8RZ4SVU"],"itemData":{"id":131,"type":"article-journal","title":"Primary Care Screening Methods and Outcomes for Asylum Seekers in New York City","container-title":"J Immigr Minor Health","source":"Nlm","archive_location":"27704388","abstract":"Effective screening in primary care among asylum-seekers in the US is critical as this population grows. This study aimed to evaluate disease prevalence and screening methods in this high-risk group. Two hundred ten new clients from 51 countries, plus Tibet, who were accepted into a program for asylum seekers from 2012 to 2014 were included. Screening rates and outcomes for infectious, non-communicable, and mental illnesses were evaluated. Screening rates were highest for PTSD, depression, hepatitis B, and latent tuberculosis. Seventy-one percent of clients screened positive for depression and 55 % for PTSD, followed by latent tuberculosis (41 %), hypertension (10 %), hepatitis B (9.4 %), and HIV (0.8 %). Overall screening rates were high. Point of care testing was more effective than testing that required a repeat visit. A large psychiatric and infectious disease burden was identified. These findings can inform future primary care screening efforts for asylum seekers in the US.","DOI":"10.1007/s10903-016-0507-y","ISSN":"1557-1912","shortTitle":"Primary Care Screening Methods and Outcomes for Asylum Seekers in New York City","journalAbbreviation":"Journal of immigrant and minority health","language":"eng","author":[{"family":"Bertelsen","given":"N. S."},{"family":"Selden","given":"E."},{"family":"Krass","given":"P."},{"family":"Keatley","given":"E. S."},{"family":"Keller","given":"A."}],"issued":{"date-parts":[["2016",10]]}}}],"schema":"https://github.com/citation-style-language/schema/raw/master/csl-citation.json"} </w:instrText>
            </w:r>
            <w:r w:rsidRPr="009F01A3">
              <w:rPr>
                <w:rFonts w:ascii="Times New Roman" w:eastAsia="Times New Roman" w:hAnsi="Times New Roman" w:cs="Times New Roman"/>
                <w:color w:val="000000"/>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(52)</w:t>
            </w:r>
            <w:r w:rsidRPr="009F01A3">
              <w:rPr>
                <w:rFonts w:ascii="Times New Roman" w:eastAsia="Times New Roman" w:hAnsi="Times New Roman" w:cs="Times New Roman"/>
                <w:color w:val="000000"/>
                <w:sz w:val="16"/>
                <w:szCs w:val="16"/>
                <w:vertAlign w:val="superscript"/>
                <w:lang w:val="en-US" w:eastAsia="pt-BR"/>
              </w:rPr>
              <w:fldChar w:fldCharType="end"/>
            </w:r>
          </w:p>
        </w:tc>
        <w:tc>
          <w:tcPr>
            <w:tcW w:w="353" w:type="pct"/>
            <w:tcBorders>
              <w:bottom w:val="single" w:sz="4" w:space="0" w:color="auto"/>
            </w:tcBorders>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2016</w:t>
            </w:r>
          </w:p>
        </w:tc>
        <w:tc>
          <w:tcPr>
            <w:tcW w:w="303" w:type="pct"/>
            <w:tcBorders>
              <w:bottom w:val="single" w:sz="4" w:space="0" w:color="auto"/>
            </w:tcBorders>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USA</w:t>
            </w:r>
          </w:p>
        </w:tc>
        <w:tc>
          <w:tcPr>
            <w:tcW w:w="354" w:type="pct"/>
            <w:tcBorders>
              <w:bottom w:val="single" w:sz="4" w:space="0" w:color="auto"/>
            </w:tcBorders>
            <w:vAlign w:val="center"/>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Asylum Seeker</w:t>
            </w:r>
          </w:p>
        </w:tc>
        <w:tc>
          <w:tcPr>
            <w:tcW w:w="556" w:type="pct"/>
            <w:tcBorders>
              <w:bottom w:val="single" w:sz="4" w:space="0" w:color="auto"/>
            </w:tcBorders>
          </w:tcPr>
          <w:p w:rsidR="00DC58F6" w:rsidRPr="009F01A3" w:rsidRDefault="00DC58F6" w:rsidP="00DC58F6">
            <w:pPr>
              <w:rPr>
                <w:rFonts w:ascii="Times New Roman" w:eastAsia="Calibri" w:hAnsi="Times New Roman" w:cs="Times New Roman"/>
                <w:color w:val="000000"/>
                <w:sz w:val="16"/>
                <w:szCs w:val="16"/>
                <w:lang w:val="en-US" w:eastAsia="pt-BR"/>
              </w:rPr>
            </w:pPr>
            <w:r w:rsidRPr="009F01A3">
              <w:rPr>
                <w:rFonts w:ascii="Times New Roman" w:eastAsia="Calibri" w:hAnsi="Times New Roman" w:cs="Times New Roman"/>
                <w:color w:val="000000"/>
                <w:sz w:val="16"/>
                <w:szCs w:val="16"/>
                <w:lang w:val="en-US" w:eastAsia="pt-BR"/>
              </w:rPr>
              <w:t>Sub-Saharan Africa; Asia; Eastern Europe; Middle East; Latin America and Caribbean; Western Europe</w:t>
            </w:r>
          </w:p>
        </w:tc>
        <w:tc>
          <w:tcPr>
            <w:tcW w:w="202" w:type="pct"/>
            <w:tcBorders>
              <w:bottom w:val="single" w:sz="4" w:space="0" w:color="auto"/>
            </w:tcBorders>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2012</w:t>
            </w:r>
          </w:p>
        </w:tc>
        <w:tc>
          <w:tcPr>
            <w:tcW w:w="202" w:type="pct"/>
            <w:tcBorders>
              <w:bottom w:val="single" w:sz="4" w:space="0" w:color="auto"/>
            </w:tcBorders>
          </w:tcPr>
          <w:p w:rsidR="00DC58F6" w:rsidRPr="009F01A3" w:rsidRDefault="00DC58F6" w:rsidP="00DC58F6">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2014</w:t>
            </w:r>
          </w:p>
        </w:tc>
        <w:tc>
          <w:tcPr>
            <w:tcW w:w="303" w:type="pct"/>
            <w:tcBorders>
              <w:bottom w:val="single" w:sz="4" w:space="0" w:color="auto"/>
            </w:tcBorders>
          </w:tcPr>
          <w:p w:rsidR="00DC58F6" w:rsidRPr="009F01A3" w:rsidRDefault="00DC58F6" w:rsidP="00DC58F6">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Borders>
              <w:bottom w:val="single" w:sz="4" w:space="0" w:color="auto"/>
            </w:tcBorders>
          </w:tcPr>
          <w:p w:rsidR="00DC58F6" w:rsidRPr="009F01A3" w:rsidRDefault="00DC58F6" w:rsidP="00DC58F6">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160</w:t>
            </w:r>
          </w:p>
        </w:tc>
        <w:tc>
          <w:tcPr>
            <w:tcW w:w="303" w:type="pct"/>
            <w:tcBorders>
              <w:bottom w:val="single" w:sz="4" w:space="0" w:color="auto"/>
            </w:tcBorders>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33.8</w:t>
            </w:r>
          </w:p>
        </w:tc>
        <w:tc>
          <w:tcPr>
            <w:tcW w:w="304" w:type="pct"/>
            <w:tcBorders>
              <w:bottom w:val="single" w:sz="4" w:space="0" w:color="auto"/>
            </w:tcBorders>
          </w:tcPr>
          <w:p w:rsidR="00DC58F6" w:rsidRPr="009F01A3" w:rsidRDefault="00DC58F6" w:rsidP="00DC58F6">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Borders>
              <w:bottom w:val="single" w:sz="4" w:space="0" w:color="auto"/>
            </w:tcBorders>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Borders>
              <w:bottom w:val="single" w:sz="4" w:space="0" w:color="auto"/>
            </w:tcBorders>
          </w:tcPr>
          <w:p w:rsidR="00DC58F6" w:rsidRPr="009F01A3" w:rsidRDefault="00DC58F6" w:rsidP="00DC58F6">
            <w:pPr>
              <w:jc w:val="center"/>
              <w:rPr>
                <w:rFonts w:ascii="Times New Roman" w:hAnsi="Times New Roman" w:cs="Times New Roman"/>
                <w:sz w:val="16"/>
                <w:szCs w:val="16"/>
                <w:lang w:val="en-US"/>
              </w:rPr>
            </w:pPr>
            <w:r w:rsidRPr="009F01A3">
              <w:rPr>
                <w:rFonts w:ascii="Times New Roman" w:eastAsia="Calibri" w:hAnsi="Times New Roman" w:cs="Times New Roman"/>
                <w:sz w:val="16"/>
                <w:szCs w:val="16"/>
                <w:lang w:val="en-US"/>
              </w:rPr>
              <w:t>NI</w:t>
            </w:r>
          </w:p>
        </w:tc>
        <w:tc>
          <w:tcPr>
            <w:tcW w:w="202" w:type="pct"/>
            <w:tcBorders>
              <w:bottom w:val="single" w:sz="4" w:space="0" w:color="auto"/>
            </w:tcBorders>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Borders>
              <w:bottom w:val="single" w:sz="4" w:space="0" w:color="auto"/>
            </w:tcBorders>
          </w:tcPr>
          <w:p w:rsidR="00DC58F6" w:rsidRPr="009F01A3" w:rsidRDefault="00DC58F6" w:rsidP="00DC58F6">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Borders>
              <w:bottom w:val="single" w:sz="4" w:space="0" w:color="auto"/>
            </w:tcBorders>
          </w:tcPr>
          <w:p w:rsidR="00DC58F6" w:rsidRPr="009F01A3" w:rsidRDefault="00DC58F6" w:rsidP="00DC58F6">
            <w:pPr>
              <w:jc w:val="center"/>
              <w:rPr>
                <w:rFonts w:ascii="Times New Roman" w:eastAsia="Calibri" w:hAnsi="Times New Roman" w:cs="Times New Roman"/>
                <w:sz w:val="16"/>
                <w:szCs w:val="16"/>
                <w:lang w:val="en-US"/>
              </w:rPr>
            </w:pPr>
            <w:r w:rsidRPr="009F01A3">
              <w:rPr>
                <w:rFonts w:ascii="Times New Roman" w:eastAsia="Calibri" w:hAnsi="Times New Roman" w:cs="Times New Roman"/>
                <w:sz w:val="16"/>
                <w:szCs w:val="16"/>
                <w:lang w:val="en-US"/>
              </w:rPr>
              <w:t>40.62</w:t>
            </w:r>
          </w:p>
        </w:tc>
      </w:tr>
    </w:tbl>
    <w:p w:rsidR="00CB2808" w:rsidRDefault="00CB2808"/>
    <w:tbl>
      <w:tblPr>
        <w:tblStyle w:val="Tabelacomgrade"/>
        <w:tblW w:w="5012" w:type="pct"/>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4"/>
        <w:gridCol w:w="990"/>
        <w:gridCol w:w="851"/>
        <w:gridCol w:w="994"/>
        <w:gridCol w:w="1561"/>
        <w:gridCol w:w="567"/>
        <w:gridCol w:w="567"/>
        <w:gridCol w:w="851"/>
        <w:gridCol w:w="851"/>
        <w:gridCol w:w="851"/>
        <w:gridCol w:w="854"/>
        <w:gridCol w:w="994"/>
        <w:gridCol w:w="708"/>
        <w:gridCol w:w="567"/>
        <w:gridCol w:w="851"/>
        <w:gridCol w:w="817"/>
      </w:tblGrid>
      <w:tr w:rsidR="00CB2808" w:rsidRPr="009F01A3" w:rsidTr="009C09C1">
        <w:tc>
          <w:tcPr>
            <w:tcW w:w="415" w:type="pct"/>
            <w:vMerge w:val="restart"/>
            <w:tcBorders>
              <w:top w:val="single" w:sz="4" w:space="0" w:color="auto"/>
            </w:tcBorders>
            <w:vAlign w:val="center"/>
          </w:tcPr>
          <w:p w:rsidR="00CB2808" w:rsidRPr="009F01A3" w:rsidRDefault="00CB2808" w:rsidP="00CB2808">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First Author</w:t>
            </w:r>
          </w:p>
        </w:tc>
        <w:tc>
          <w:tcPr>
            <w:tcW w:w="353" w:type="pct"/>
            <w:vMerge w:val="restart"/>
            <w:tcBorders>
              <w:top w:val="single" w:sz="4" w:space="0" w:color="auto"/>
            </w:tcBorders>
            <w:vAlign w:val="center"/>
          </w:tcPr>
          <w:p w:rsidR="00CB2808" w:rsidRPr="009F01A3" w:rsidRDefault="00CB2808" w:rsidP="00CB2808">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Year of publication</w:t>
            </w:r>
          </w:p>
        </w:tc>
        <w:tc>
          <w:tcPr>
            <w:tcW w:w="303" w:type="pct"/>
            <w:vMerge w:val="restart"/>
            <w:tcBorders>
              <w:top w:val="single" w:sz="4" w:space="0" w:color="auto"/>
            </w:tcBorders>
            <w:vAlign w:val="center"/>
          </w:tcPr>
          <w:p w:rsidR="00CB2808" w:rsidRPr="009F01A3" w:rsidRDefault="00CB2808" w:rsidP="00CB2808">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Country of study</w:t>
            </w:r>
          </w:p>
        </w:tc>
        <w:tc>
          <w:tcPr>
            <w:tcW w:w="354" w:type="pct"/>
            <w:vMerge w:val="restart"/>
            <w:tcBorders>
              <w:top w:val="single" w:sz="4" w:space="0" w:color="auto"/>
            </w:tcBorders>
            <w:vAlign w:val="center"/>
          </w:tcPr>
          <w:p w:rsidR="00CB2808" w:rsidRPr="009F01A3" w:rsidRDefault="00CB2808" w:rsidP="00CB2808">
            <w:pPr>
              <w:contextualSpacing/>
              <w:jc w:val="center"/>
              <w:rPr>
                <w:rFonts w:ascii="Times New Roman" w:eastAsia="Times New Roman" w:hAnsi="Times New Roman" w:cs="Times New Roman"/>
                <w:b/>
                <w:bCs/>
                <w:color w:val="000000"/>
                <w:sz w:val="16"/>
                <w:szCs w:val="16"/>
                <w:lang w:val="en-US" w:eastAsia="pt-BR"/>
              </w:rPr>
            </w:pPr>
            <w:r w:rsidRPr="009F01A3">
              <w:rPr>
                <w:rFonts w:ascii="Times New Roman" w:hAnsi="Times New Roman" w:cs="Times New Roman"/>
                <w:b/>
                <w:bCs/>
                <w:sz w:val="16"/>
                <w:szCs w:val="16"/>
                <w:lang w:val="en-US"/>
              </w:rPr>
              <w:t>Population</w:t>
            </w:r>
          </w:p>
        </w:tc>
        <w:tc>
          <w:tcPr>
            <w:tcW w:w="556" w:type="pct"/>
            <w:vMerge w:val="restart"/>
            <w:tcBorders>
              <w:top w:val="single" w:sz="4" w:space="0" w:color="auto"/>
            </w:tcBorders>
            <w:vAlign w:val="center"/>
          </w:tcPr>
          <w:p w:rsidR="00CB2808" w:rsidRPr="009F01A3" w:rsidRDefault="00CB2808" w:rsidP="00CB2808">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color w:val="000000"/>
                <w:sz w:val="16"/>
                <w:szCs w:val="16"/>
                <w:lang w:val="en-US" w:eastAsia="pt-BR"/>
              </w:rPr>
              <w:t>Country / Region of origin</w:t>
            </w:r>
          </w:p>
        </w:tc>
        <w:tc>
          <w:tcPr>
            <w:tcW w:w="404" w:type="pct"/>
            <w:gridSpan w:val="2"/>
            <w:tcBorders>
              <w:top w:val="single" w:sz="4" w:space="0" w:color="auto"/>
            </w:tcBorders>
            <w:vAlign w:val="center"/>
          </w:tcPr>
          <w:p w:rsidR="00CB2808" w:rsidRPr="009F01A3"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Period of data collection</w:t>
            </w:r>
          </w:p>
        </w:tc>
        <w:tc>
          <w:tcPr>
            <w:tcW w:w="303" w:type="pct"/>
            <w:vMerge w:val="restart"/>
            <w:tcBorders>
              <w:top w:val="single" w:sz="4" w:space="0" w:color="auto"/>
            </w:tcBorders>
            <w:vAlign w:val="center"/>
          </w:tcPr>
          <w:p w:rsidR="00CB2808" w:rsidRPr="009F01A3"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color w:val="000000"/>
                <w:sz w:val="16"/>
                <w:szCs w:val="16"/>
                <w:lang w:val="en-US" w:eastAsia="pt-BR"/>
              </w:rPr>
              <w:t>Setting</w:t>
            </w:r>
          </w:p>
        </w:tc>
        <w:tc>
          <w:tcPr>
            <w:tcW w:w="303" w:type="pct"/>
            <w:vMerge w:val="restart"/>
            <w:tcBorders>
              <w:top w:val="single" w:sz="4" w:space="0" w:color="auto"/>
            </w:tcBorders>
            <w:vAlign w:val="center"/>
          </w:tcPr>
          <w:p w:rsidR="00CB2808" w:rsidRPr="009F01A3"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Sample*</w:t>
            </w:r>
          </w:p>
          <w:p w:rsidR="00CB2808" w:rsidRPr="009F01A3"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(n)</w:t>
            </w:r>
          </w:p>
        </w:tc>
        <w:tc>
          <w:tcPr>
            <w:tcW w:w="303" w:type="pct"/>
            <w:vMerge w:val="restart"/>
            <w:tcBorders>
              <w:top w:val="single" w:sz="4" w:space="0" w:color="auto"/>
            </w:tcBorders>
            <w:vAlign w:val="center"/>
          </w:tcPr>
          <w:p w:rsidR="00CB2808" w:rsidRPr="009F01A3" w:rsidRDefault="00CB2808" w:rsidP="00CB2808">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Women</w:t>
            </w:r>
          </w:p>
          <w:p w:rsidR="00CB2808" w:rsidRPr="009F01A3"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w:t>
            </w:r>
          </w:p>
        </w:tc>
        <w:tc>
          <w:tcPr>
            <w:tcW w:w="304" w:type="pct"/>
            <w:vMerge w:val="restart"/>
            <w:tcBorders>
              <w:top w:val="single" w:sz="4" w:space="0" w:color="auto"/>
            </w:tcBorders>
            <w:vAlign w:val="center"/>
          </w:tcPr>
          <w:p w:rsidR="00CB2808" w:rsidRPr="009F01A3"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Study design</w:t>
            </w:r>
          </w:p>
        </w:tc>
        <w:tc>
          <w:tcPr>
            <w:tcW w:w="354" w:type="pct"/>
            <w:vMerge w:val="restart"/>
            <w:tcBorders>
              <w:top w:val="single" w:sz="4" w:space="0" w:color="auto"/>
            </w:tcBorders>
            <w:vAlign w:val="center"/>
          </w:tcPr>
          <w:p w:rsidR="00CB2808" w:rsidRPr="009F01A3" w:rsidRDefault="00CB2808" w:rsidP="00CB2808">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Diagnostic test*</w:t>
            </w:r>
          </w:p>
        </w:tc>
        <w:tc>
          <w:tcPr>
            <w:tcW w:w="252" w:type="pct"/>
            <w:vMerge w:val="restart"/>
            <w:tcBorders>
              <w:top w:val="single" w:sz="4" w:space="0" w:color="auto"/>
            </w:tcBorders>
            <w:vAlign w:val="center"/>
          </w:tcPr>
          <w:p w:rsidR="00CB2808" w:rsidRPr="009F01A3" w:rsidRDefault="00CB2808" w:rsidP="00CB2808">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TST cutoff point (mm)</w:t>
            </w:r>
          </w:p>
        </w:tc>
        <w:tc>
          <w:tcPr>
            <w:tcW w:w="796" w:type="pct"/>
            <w:gridSpan w:val="3"/>
            <w:tcBorders>
              <w:top w:val="single" w:sz="4" w:space="0" w:color="auto"/>
            </w:tcBorders>
            <w:vAlign w:val="center"/>
          </w:tcPr>
          <w:p w:rsidR="00CB2808" w:rsidRPr="009F01A3" w:rsidRDefault="00CB2808" w:rsidP="00CB2808">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Prevalence</w:t>
            </w:r>
          </w:p>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b/>
                <w:bCs/>
                <w:sz w:val="16"/>
                <w:szCs w:val="16"/>
                <w:lang w:val="en-US"/>
              </w:rPr>
              <w:t>(%)</w:t>
            </w:r>
          </w:p>
        </w:tc>
      </w:tr>
      <w:tr w:rsidR="00CB2808" w:rsidRPr="009F01A3" w:rsidTr="009C09C1">
        <w:tc>
          <w:tcPr>
            <w:tcW w:w="415" w:type="pct"/>
            <w:vMerge/>
            <w:tcBorders>
              <w:bottom w:val="single" w:sz="4" w:space="0" w:color="auto"/>
            </w:tcBorders>
            <w:vAlign w:val="center"/>
          </w:tcPr>
          <w:p w:rsidR="00CB2808" w:rsidRPr="009F01A3" w:rsidRDefault="00CB2808" w:rsidP="00CB2808">
            <w:pPr>
              <w:contextualSpacing/>
              <w:jc w:val="center"/>
              <w:rPr>
                <w:rFonts w:ascii="Times New Roman" w:eastAsia="Times New Roman" w:hAnsi="Times New Roman" w:cs="Times New Roman"/>
                <w:b/>
                <w:bCs/>
                <w:sz w:val="16"/>
                <w:szCs w:val="16"/>
                <w:lang w:val="en-US" w:eastAsia="pt-BR"/>
              </w:rPr>
            </w:pPr>
          </w:p>
        </w:tc>
        <w:tc>
          <w:tcPr>
            <w:tcW w:w="353" w:type="pct"/>
            <w:vMerge/>
            <w:tcBorders>
              <w:bottom w:val="single" w:sz="4" w:space="0" w:color="auto"/>
            </w:tcBorders>
            <w:vAlign w:val="center"/>
          </w:tcPr>
          <w:p w:rsidR="00CB2808" w:rsidRPr="009F01A3" w:rsidRDefault="00CB2808" w:rsidP="00CB2808">
            <w:pPr>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CB2808" w:rsidRPr="009F01A3" w:rsidRDefault="00CB2808" w:rsidP="00CB2808">
            <w:pPr>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vAlign w:val="center"/>
          </w:tcPr>
          <w:p w:rsidR="00CB2808" w:rsidRPr="009F01A3" w:rsidRDefault="00CB2808" w:rsidP="00CB2808">
            <w:pPr>
              <w:contextualSpacing/>
              <w:jc w:val="center"/>
              <w:rPr>
                <w:rFonts w:ascii="Times New Roman" w:hAnsi="Times New Roman" w:cs="Times New Roman"/>
                <w:b/>
                <w:bCs/>
                <w:sz w:val="16"/>
                <w:szCs w:val="16"/>
                <w:lang w:val="en-US"/>
              </w:rPr>
            </w:pPr>
          </w:p>
        </w:tc>
        <w:tc>
          <w:tcPr>
            <w:tcW w:w="556" w:type="pct"/>
            <w:vMerge/>
            <w:tcBorders>
              <w:bottom w:val="single" w:sz="4" w:space="0" w:color="auto"/>
            </w:tcBorders>
            <w:vAlign w:val="center"/>
          </w:tcPr>
          <w:p w:rsidR="00CB2808" w:rsidRPr="009F01A3" w:rsidRDefault="00CB2808" w:rsidP="00CB2808">
            <w:pPr>
              <w:contextualSpacing/>
              <w:jc w:val="center"/>
              <w:rPr>
                <w:rFonts w:ascii="Times New Roman" w:eastAsia="Times New Roman" w:hAnsi="Times New Roman" w:cs="Times New Roman"/>
                <w:b/>
                <w:bCs/>
                <w:color w:val="000000"/>
                <w:sz w:val="16"/>
                <w:szCs w:val="16"/>
                <w:lang w:val="en-US" w:eastAsia="pt-BR"/>
              </w:rPr>
            </w:pPr>
          </w:p>
        </w:tc>
        <w:tc>
          <w:tcPr>
            <w:tcW w:w="202" w:type="pct"/>
            <w:tcBorders>
              <w:bottom w:val="single" w:sz="4" w:space="0" w:color="auto"/>
            </w:tcBorders>
            <w:vAlign w:val="center"/>
          </w:tcPr>
          <w:p w:rsidR="00CB2808" w:rsidRPr="009F01A3"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Start</w:t>
            </w:r>
          </w:p>
        </w:tc>
        <w:tc>
          <w:tcPr>
            <w:tcW w:w="202" w:type="pct"/>
            <w:tcBorders>
              <w:bottom w:val="single" w:sz="4" w:space="0" w:color="auto"/>
            </w:tcBorders>
            <w:vAlign w:val="center"/>
          </w:tcPr>
          <w:p w:rsidR="00CB2808" w:rsidRPr="009F01A3"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End</w:t>
            </w:r>
          </w:p>
        </w:tc>
        <w:tc>
          <w:tcPr>
            <w:tcW w:w="303" w:type="pct"/>
            <w:vMerge/>
            <w:tcBorders>
              <w:bottom w:val="single" w:sz="4" w:space="0" w:color="auto"/>
            </w:tcBorders>
            <w:vAlign w:val="center"/>
          </w:tcPr>
          <w:p w:rsidR="00CB2808" w:rsidRPr="009F01A3"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CB2808" w:rsidRPr="009F01A3" w:rsidRDefault="00CB2808" w:rsidP="00CB2808">
            <w:pPr>
              <w:autoSpaceDE w:val="0"/>
              <w:autoSpaceDN w:val="0"/>
              <w:adjustRightInd w:val="0"/>
              <w:contextualSpacing/>
              <w:jc w:val="center"/>
              <w:rPr>
                <w:rFonts w:ascii="Times New Roman" w:hAnsi="Times New Roman" w:cs="Times New Roman"/>
                <w:b/>
                <w:bCs/>
                <w:sz w:val="16"/>
                <w:szCs w:val="16"/>
                <w:lang w:val="en-US"/>
              </w:rPr>
            </w:pPr>
          </w:p>
        </w:tc>
        <w:tc>
          <w:tcPr>
            <w:tcW w:w="303" w:type="pct"/>
            <w:vMerge/>
            <w:tcBorders>
              <w:bottom w:val="single" w:sz="4" w:space="0" w:color="auto"/>
            </w:tcBorders>
            <w:vAlign w:val="center"/>
          </w:tcPr>
          <w:p w:rsidR="00CB2808" w:rsidRPr="009F01A3"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4" w:type="pct"/>
            <w:vMerge/>
            <w:tcBorders>
              <w:bottom w:val="single" w:sz="4" w:space="0" w:color="auto"/>
            </w:tcBorders>
            <w:vAlign w:val="center"/>
          </w:tcPr>
          <w:p w:rsidR="00CB2808" w:rsidRPr="009F01A3" w:rsidRDefault="00CB2808" w:rsidP="00CB2808">
            <w:pPr>
              <w:autoSpaceDE w:val="0"/>
              <w:autoSpaceDN w:val="0"/>
              <w:adjustRightInd w:val="0"/>
              <w:contextualSpacing/>
              <w:jc w:val="center"/>
              <w:rPr>
                <w:rFonts w:ascii="Times New Roman" w:hAnsi="Times New Roman" w:cs="Times New Roman"/>
                <w:b/>
                <w:bCs/>
                <w:sz w:val="16"/>
                <w:szCs w:val="16"/>
                <w:lang w:val="en-US"/>
              </w:rPr>
            </w:pPr>
          </w:p>
        </w:tc>
        <w:tc>
          <w:tcPr>
            <w:tcW w:w="354" w:type="pct"/>
            <w:vMerge/>
            <w:tcBorders>
              <w:bottom w:val="single" w:sz="4" w:space="0" w:color="auto"/>
            </w:tcBorders>
            <w:vAlign w:val="center"/>
          </w:tcPr>
          <w:p w:rsidR="00CB2808" w:rsidRPr="009F01A3" w:rsidRDefault="00CB2808" w:rsidP="00CB2808">
            <w:pPr>
              <w:autoSpaceDE w:val="0"/>
              <w:autoSpaceDN w:val="0"/>
              <w:adjustRightInd w:val="0"/>
              <w:contextualSpacing/>
              <w:jc w:val="center"/>
              <w:rPr>
                <w:rFonts w:ascii="Times New Roman" w:hAnsi="Times New Roman" w:cs="Times New Roman"/>
                <w:b/>
                <w:bCs/>
                <w:sz w:val="16"/>
                <w:szCs w:val="16"/>
                <w:lang w:val="en-US"/>
              </w:rPr>
            </w:pPr>
          </w:p>
        </w:tc>
        <w:tc>
          <w:tcPr>
            <w:tcW w:w="252" w:type="pct"/>
            <w:vMerge/>
            <w:tcBorders>
              <w:bottom w:val="single" w:sz="4" w:space="0" w:color="auto"/>
            </w:tcBorders>
            <w:vAlign w:val="center"/>
          </w:tcPr>
          <w:p w:rsidR="00CB2808" w:rsidRPr="009F01A3"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202" w:type="pct"/>
            <w:tcBorders>
              <w:bottom w:val="single" w:sz="4" w:space="0" w:color="auto"/>
            </w:tcBorders>
            <w:vAlign w:val="center"/>
          </w:tcPr>
          <w:p w:rsidR="00CB2808" w:rsidRPr="009F01A3"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Men</w:t>
            </w:r>
          </w:p>
        </w:tc>
        <w:tc>
          <w:tcPr>
            <w:tcW w:w="303" w:type="pct"/>
            <w:tcBorders>
              <w:bottom w:val="single" w:sz="4" w:space="0" w:color="auto"/>
            </w:tcBorders>
            <w:vAlign w:val="center"/>
          </w:tcPr>
          <w:p w:rsidR="00CB2808" w:rsidRPr="009F01A3"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Women</w:t>
            </w:r>
          </w:p>
        </w:tc>
        <w:tc>
          <w:tcPr>
            <w:tcW w:w="291" w:type="pct"/>
            <w:tcBorders>
              <w:bottom w:val="single" w:sz="4" w:space="0" w:color="auto"/>
            </w:tcBorders>
            <w:vAlign w:val="center"/>
          </w:tcPr>
          <w:p w:rsidR="00CB2808" w:rsidRPr="009F01A3" w:rsidRDefault="00CB2808" w:rsidP="00CB2808">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Overall</w:t>
            </w:r>
          </w:p>
        </w:tc>
      </w:tr>
      <w:tr w:rsidR="00CB2808" w:rsidRPr="009F01A3" w:rsidTr="009C09C1">
        <w:tc>
          <w:tcPr>
            <w:tcW w:w="415" w:type="pct"/>
            <w:tcBorders>
              <w:top w:val="single" w:sz="4" w:space="0" w:color="auto"/>
            </w:tcBorders>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Chai</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rk12njrgm","properties":{"formattedCitation":"(45)","plainCitation":"(45)","noteIndex":0},"citationItems":[{"id":"mvNZPZfg/V3KBG8Ga","uris":["http://zotero.org/users/local/lLjYRh4M/items/AKXPSYCG"],"uri":["http://zotero.org/users/local/lLjYRh4M/items/AKXPSYCG"],"itemData":{"id":12,"type":"article-journal","title":"Infectious disease burden and vaccination needs among asylees versus refugees, district of columbia","container-title":"Clin Infect Dis","page":"652-8","volume":"56","issue":"5","source":"NLM","archive_location":"23118270","abstract":"BACKGROUND: Unlike US-bound refugees, asylum seekers (asylees) apply for asylum while residing in the United States and are not provided a medical screening. Infectious disease burden and vaccination needs have not been described among US asylees. METHODS: We conducted a retrospective cohort study of 630 asylees and 151 refugees referred to the District of Columbia (DC) Department of Health screening program for an initial US medical screening during September 2003-August 2007. We assessed the prevalence of latent tuberculosis infection (tuberculin skin test reactivity &gt;/=10 mm), human immunodeficiency virus (HIV) and hepatitis B seropositivity, intestinal parasite test positivity, need for vaccinations, and time from date of US arrival to receipt of screening. RESULTS: Asylees in DC had a similar prevalence as refugees of latent tuberculosis infection (39% vs 38%, respectively, P = .83), pathogenic intestinal parasites (4% vs 2%, P = .36), and need for adult vaccinations (80% vs 80%, P = .95). Asylees were screened significantly later after US arrival compared with refugees (55 weeks vs 1 week, P &lt; .001). Asylees had higher prevalence of latent tuberculosis infection, hepatitis B and HIV seropositivity, and child and adult vaccination needs than the US population (P &lt; .001). CONCLUSIONS: This study of the infectious disease concerns of a US asylee population suggests that in DC, asylees have similar infectious disease burden and prevention needs as refugees and should be screened with the same urgency. Because applicants for US asylum are not linked to prompt medical screenings, DC asylees are typically screened much later, placing them and US communities at risk.","DOI":"10.1093/cid/cis927","ISSN":"1058-4838","shortTitle":"Infectious disease burden and vaccination needs among asylees versus refugees, district of columbia","journalAbbreviation":"Clinical infectious diseases : an official publication of the Infectious Diseases Society of America","language":"eng","author":[{"family":"Chai","given":"S. J."},{"family":"Davies-Cole","given":"J."},{"family":"Cookson","given":"S. T."}],"issued":{"date-parts":[["2013",3]]}}}],"schema":"https://github.com/citation-style-language/schema/raw/master/csl-citation.json"}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(45)</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Borders>
              <w:top w:val="single" w:sz="4" w:space="0" w:color="auto"/>
            </w:tcBorders>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2013</w:t>
            </w:r>
          </w:p>
        </w:tc>
        <w:tc>
          <w:tcPr>
            <w:tcW w:w="303" w:type="pct"/>
            <w:tcBorders>
              <w:top w:val="single" w:sz="4" w:space="0" w:color="auto"/>
            </w:tcBorders>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tcBorders>
              <w:top w:val="single" w:sz="4" w:space="0" w:color="auto"/>
            </w:tcBorders>
            <w:vAlign w:val="center"/>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Mixed</w:t>
            </w:r>
          </w:p>
        </w:tc>
        <w:tc>
          <w:tcPr>
            <w:tcW w:w="556" w:type="pct"/>
            <w:tcBorders>
              <w:top w:val="single" w:sz="4" w:space="0" w:color="auto"/>
            </w:tcBorders>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Ethiopia; Cameroon; Eritrea; Sierra Leone; Togo; Vietnam; Sudan; Democratic Republic of Congo; Columbia</w:t>
            </w:r>
          </w:p>
        </w:tc>
        <w:tc>
          <w:tcPr>
            <w:tcW w:w="202" w:type="pct"/>
            <w:tcBorders>
              <w:top w:val="single" w:sz="4" w:space="0" w:color="auto"/>
            </w:tcBorders>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2003</w:t>
            </w:r>
          </w:p>
        </w:tc>
        <w:tc>
          <w:tcPr>
            <w:tcW w:w="202" w:type="pct"/>
            <w:tcBorders>
              <w:top w:val="single" w:sz="4" w:space="0" w:color="auto"/>
            </w:tcBorders>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2007</w:t>
            </w:r>
          </w:p>
        </w:tc>
        <w:tc>
          <w:tcPr>
            <w:tcW w:w="303" w:type="pct"/>
            <w:tcBorders>
              <w:top w:val="single" w:sz="4" w:space="0" w:color="auto"/>
            </w:tcBorders>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Borders>
              <w:top w:val="single" w:sz="4" w:space="0" w:color="auto"/>
            </w:tcBorders>
          </w:tcPr>
          <w:p w:rsidR="00CB2808" w:rsidRPr="009F01A3" w:rsidRDefault="00CB2808" w:rsidP="00CB2808">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611</w:t>
            </w:r>
          </w:p>
        </w:tc>
        <w:tc>
          <w:tcPr>
            <w:tcW w:w="303" w:type="pct"/>
            <w:tcBorders>
              <w:top w:val="single" w:sz="4" w:space="0" w:color="auto"/>
            </w:tcBorders>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43.0</w:t>
            </w:r>
          </w:p>
        </w:tc>
        <w:tc>
          <w:tcPr>
            <w:tcW w:w="304" w:type="pct"/>
            <w:tcBorders>
              <w:top w:val="single" w:sz="4" w:space="0" w:color="auto"/>
            </w:tcBorders>
          </w:tcPr>
          <w:p w:rsidR="00CB2808" w:rsidRPr="009F01A3" w:rsidRDefault="00CB2808" w:rsidP="00CB2808">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Borders>
              <w:top w:val="single" w:sz="4" w:space="0" w:color="auto"/>
            </w:tcBorders>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Borders>
              <w:top w:val="single" w:sz="4" w:space="0" w:color="auto"/>
            </w:tcBorders>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Borders>
              <w:top w:val="single" w:sz="4" w:space="0" w:color="auto"/>
            </w:tcBorders>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Borders>
              <w:top w:val="single" w:sz="4" w:space="0" w:color="auto"/>
            </w:tcBorders>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Borders>
              <w:top w:val="single" w:sz="4" w:space="0" w:color="auto"/>
            </w:tcBorders>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39.12</w:t>
            </w:r>
          </w:p>
        </w:tc>
      </w:tr>
      <w:tr w:rsidR="00CB2808" w:rsidRPr="009F01A3" w:rsidTr="009C09C1">
        <w:tc>
          <w:tcPr>
            <w:tcW w:w="415"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Bua</w:t>
            </w:r>
            <w:r w:rsidRPr="009F01A3">
              <w:rPr>
                <w:rFonts w:ascii="Times New Roman" w:eastAsia="Times New Roman" w:hAnsi="Times New Roman" w:cs="Times New Roman"/>
                <w:color w:val="000000"/>
                <w:sz w:val="16"/>
                <w:szCs w:val="16"/>
                <w:vertAlign w:val="superscript"/>
                <w:lang w:val="en-US" w:eastAsia="pt-BR"/>
              </w:rPr>
              <w:t xml:space="preserve"> </w:t>
            </w:r>
            <w:r w:rsidRPr="009F01A3">
              <w:rPr>
                <w:rFonts w:ascii="Times New Roman" w:eastAsia="Times New Roman" w:hAnsi="Times New Roman" w:cs="Times New Roman"/>
                <w:color w:val="000000"/>
                <w:sz w:val="16"/>
                <w:szCs w:val="16"/>
                <w:vertAlign w:val="superscript"/>
                <w:lang w:val="en-US" w:eastAsia="pt-BR"/>
              </w:rPr>
              <w:fldChar w:fldCharType="begin"/>
            </w:r>
            <w:r w:rsidRPr="009F01A3">
              <w:rPr>
                <w:rFonts w:ascii="Times New Roman" w:eastAsia="Times New Roman" w:hAnsi="Times New Roman" w:cs="Times New Roman"/>
                <w:color w:val="000000"/>
                <w:sz w:val="16"/>
                <w:szCs w:val="16"/>
                <w:vertAlign w:val="superscript"/>
                <w:lang w:val="en-US" w:eastAsia="pt-BR"/>
              </w:rPr>
              <w:instrText xml:space="preserve"> ADDIN ZOTERO_ITEM CSL_CITATION {"citationID":"ac28266kto","properties":{"formattedCitation":"(35)","plainCitation":"(35)","noteIndex":0},"citationItems":[{"id":"mvNZPZfg/yoEUYrK6","uris":["http://zotero.org/users/local/lLjYRh4M/items/A8YYI9UE"],"uri":["http://zotero.org/users/local/lLjYRh4M/items/A8YYI9UE"],"itemData":{"id":133,"type":"article-journal","title":"Tuberculosis screening among asylum seekers in Sardinia","container-title":"Journal of Public Health","page":"760-764","volume":"38","issue":"4","archive_location":"WOS:000395817000045","abstract":"Background In Italy, the guidelines for preventing Tuberculosis (TB) include X-ray screening and application of the Mantoux test for migrants from TB-endemic countries as soon as possible after admission to Italy. This article describes a screening survey conducted in the reception center for asylum seekers in Northern Sardinia. Methods The screening tests of Mantoux, chest X-ray, QuantiFERON TB Gold and Inducible-protein-10 were carried out on 109 subjects came from Africa and Asia. Results Mantoux was positive in 40 subjects and negative in 69. Chest X-rays were performed in all of the 40 Mantoux-positive subjects, and it was negative. QuantiFERON was positive in 16 refugees, negative in 92 and indeterminate in 1. A positive Inducible-protein-10 response was observed in 29 subjects, while a negative result was detected in 80 subjects. Conclusions Our results showed that the Mantoux may not be a suitable screening test in the migrant population considering its low specificity. QFT may be more suitable to identify subjects with tubercular infection may to receive preventive therapy, although its sensitivity could be increased by the Inducible-protein-10.","DOI":"10.1093/pubmed/fdv215","ISSN":"1741-3842","shortTitle":"Tuberculosis screening among asylum seekers in Sardinia","journalAbbreviation":"J. Public Health","language":"English","author":[{"family":"Bua","given":"A."},{"family":"Cubeddu","given":"M."},{"family":"Piras","given":"D."},{"family":"Delogu","given":"R."},{"family":"Zanetti","given":"S."},{"family":"Molicotti","given":"P."}],"issued":{"date-parts":[["2016",12]]}}}],"schema":"https://github.com/citation-style-language/schema/raw/master/csl-citation.json"} </w:instrText>
            </w:r>
            <w:r w:rsidRPr="009F01A3">
              <w:rPr>
                <w:rFonts w:ascii="Times New Roman" w:eastAsia="Times New Roman" w:hAnsi="Times New Roman" w:cs="Times New Roman"/>
                <w:color w:val="000000"/>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(35)</w:t>
            </w:r>
            <w:r w:rsidRPr="009F01A3">
              <w:rPr>
                <w:rFonts w:ascii="Times New Roman" w:eastAsia="Times New Roman" w:hAnsi="Times New Roman" w:cs="Times New Roman"/>
                <w:color w:val="000000"/>
                <w:sz w:val="16"/>
                <w:szCs w:val="16"/>
                <w:vertAlign w:val="superscript"/>
                <w:lang w:val="en-US" w:eastAsia="pt-BR"/>
              </w:rPr>
              <w:fldChar w:fldCharType="end"/>
            </w:r>
          </w:p>
        </w:tc>
        <w:tc>
          <w:tcPr>
            <w:tcW w:w="35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2016</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Italy</w:t>
            </w:r>
          </w:p>
        </w:tc>
        <w:tc>
          <w:tcPr>
            <w:tcW w:w="354" w:type="pct"/>
            <w:vAlign w:val="center"/>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Mixed</w:t>
            </w:r>
          </w:p>
        </w:tc>
        <w:tc>
          <w:tcPr>
            <w:tcW w:w="556" w:type="pct"/>
          </w:tcPr>
          <w:p w:rsidR="00CB2808" w:rsidRPr="009F01A3" w:rsidRDefault="00CB2808" w:rsidP="00CB2808">
            <w:pPr>
              <w:rPr>
                <w:rFonts w:ascii="Times New Roman" w:eastAsia="Calibri" w:hAnsi="Times New Roman" w:cs="Times New Roman"/>
                <w:color w:val="000000"/>
                <w:sz w:val="16"/>
                <w:szCs w:val="16"/>
                <w:lang w:eastAsia="pt-BR"/>
              </w:rPr>
            </w:pPr>
            <w:proofErr w:type="spellStart"/>
            <w:r w:rsidRPr="009F01A3">
              <w:rPr>
                <w:rFonts w:ascii="Times New Roman" w:eastAsia="Calibri" w:hAnsi="Times New Roman" w:cs="Times New Roman"/>
                <w:color w:val="000000"/>
                <w:sz w:val="16"/>
                <w:szCs w:val="16"/>
                <w:lang w:eastAsia="pt-BR"/>
              </w:rPr>
              <w:t>Nigeria</w:t>
            </w:r>
            <w:proofErr w:type="spellEnd"/>
            <w:r w:rsidRPr="009F01A3">
              <w:rPr>
                <w:rFonts w:ascii="Times New Roman" w:eastAsia="Calibri" w:hAnsi="Times New Roman" w:cs="Times New Roman"/>
                <w:color w:val="000000"/>
                <w:sz w:val="16"/>
                <w:szCs w:val="16"/>
                <w:lang w:eastAsia="pt-BR"/>
              </w:rPr>
              <w:t xml:space="preserve">; Mali; Senegal; Bangladesh; Gambia; </w:t>
            </w:r>
            <w:proofErr w:type="spellStart"/>
            <w:r w:rsidRPr="009F01A3">
              <w:rPr>
                <w:rFonts w:ascii="Times New Roman" w:eastAsia="Calibri" w:hAnsi="Times New Roman" w:cs="Times New Roman"/>
                <w:color w:val="000000"/>
                <w:sz w:val="16"/>
                <w:szCs w:val="16"/>
                <w:lang w:eastAsia="pt-BR"/>
              </w:rPr>
              <w:t>Guinea</w:t>
            </w:r>
            <w:proofErr w:type="spellEnd"/>
            <w:r w:rsidRPr="009F01A3">
              <w:rPr>
                <w:rFonts w:ascii="Times New Roman" w:eastAsia="Calibri" w:hAnsi="Times New Roman" w:cs="Times New Roman"/>
                <w:color w:val="000000"/>
                <w:sz w:val="16"/>
                <w:szCs w:val="16"/>
                <w:lang w:eastAsia="pt-BR"/>
              </w:rPr>
              <w:t xml:space="preserve">; </w:t>
            </w:r>
            <w:proofErr w:type="spellStart"/>
            <w:r w:rsidRPr="009F01A3">
              <w:rPr>
                <w:rFonts w:ascii="Times New Roman" w:eastAsia="Calibri" w:hAnsi="Times New Roman" w:cs="Times New Roman"/>
                <w:color w:val="000000"/>
                <w:sz w:val="16"/>
                <w:szCs w:val="16"/>
                <w:lang w:eastAsia="pt-BR"/>
              </w:rPr>
              <w:t>Nigeria</w:t>
            </w:r>
            <w:proofErr w:type="spellEnd"/>
            <w:r w:rsidRPr="009F01A3">
              <w:rPr>
                <w:rFonts w:ascii="Times New Roman" w:eastAsia="Calibri" w:hAnsi="Times New Roman" w:cs="Times New Roman"/>
                <w:color w:val="000000"/>
                <w:sz w:val="16"/>
                <w:szCs w:val="16"/>
                <w:lang w:eastAsia="pt-BR"/>
              </w:rPr>
              <w:t xml:space="preserve">; </w:t>
            </w:r>
            <w:proofErr w:type="spellStart"/>
            <w:r w:rsidRPr="009F01A3">
              <w:rPr>
                <w:rFonts w:ascii="Times New Roman" w:eastAsia="Calibri" w:hAnsi="Times New Roman" w:cs="Times New Roman"/>
                <w:color w:val="000000"/>
                <w:sz w:val="16"/>
                <w:szCs w:val="16"/>
                <w:lang w:eastAsia="pt-BR"/>
              </w:rPr>
              <w:t>Ghana</w:t>
            </w:r>
            <w:proofErr w:type="spellEnd"/>
            <w:r w:rsidRPr="009F01A3">
              <w:rPr>
                <w:rFonts w:ascii="Times New Roman" w:eastAsia="Calibri" w:hAnsi="Times New Roman" w:cs="Times New Roman"/>
                <w:color w:val="000000"/>
                <w:sz w:val="16"/>
                <w:szCs w:val="16"/>
                <w:lang w:eastAsia="pt-BR"/>
              </w:rPr>
              <w:t>; Togo</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NI</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NI</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CB2808" w:rsidRPr="009F01A3" w:rsidRDefault="00CB2808" w:rsidP="00CB2808">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109</w:t>
            </w:r>
          </w:p>
        </w:tc>
        <w:tc>
          <w:tcPr>
            <w:tcW w:w="303"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NI</w:t>
            </w:r>
          </w:p>
        </w:tc>
        <w:tc>
          <w:tcPr>
            <w:tcW w:w="304" w:type="pct"/>
          </w:tcPr>
          <w:p w:rsidR="00CB2808" w:rsidRPr="009F01A3" w:rsidRDefault="00CB2808" w:rsidP="00CB2808">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eastAsia="Calibri" w:hAnsi="Times New Roman" w:cs="Times New Roman"/>
                <w:sz w:val="16"/>
                <w:szCs w:val="16"/>
                <w:lang w:val="en-US"/>
              </w:rPr>
              <w:t>5</w:t>
            </w:r>
          </w:p>
        </w:tc>
        <w:tc>
          <w:tcPr>
            <w:tcW w:w="202"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CB2808" w:rsidRPr="009F01A3" w:rsidRDefault="00CB2808" w:rsidP="00CB2808">
            <w:pPr>
              <w:jc w:val="center"/>
              <w:rPr>
                <w:rFonts w:ascii="Times New Roman" w:eastAsia="Calibri" w:hAnsi="Times New Roman" w:cs="Times New Roman"/>
                <w:sz w:val="16"/>
                <w:szCs w:val="16"/>
                <w:lang w:val="en-US"/>
              </w:rPr>
            </w:pPr>
            <w:r w:rsidRPr="009F01A3">
              <w:rPr>
                <w:rFonts w:ascii="Times New Roman" w:eastAsia="Calibri" w:hAnsi="Times New Roman" w:cs="Times New Roman"/>
                <w:sz w:val="16"/>
                <w:szCs w:val="16"/>
                <w:lang w:val="en-US"/>
              </w:rPr>
              <w:t>38.53</w:t>
            </w:r>
          </w:p>
        </w:tc>
      </w:tr>
      <w:tr w:rsidR="00CB2808" w:rsidRPr="009F01A3" w:rsidTr="009C09C1">
        <w:tc>
          <w:tcPr>
            <w:tcW w:w="415"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Lobato</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2pffgn8bsl","properties":{"formattedCitation":"(85)","plainCitation":"(85)","noteIndex":0},"citationItems":[{"id":"mvNZPZfg/9KvNIxUq","uris":["http://zotero.org/users/local/lLjYRh4M/items/9HKGID9W"],"uri":["http://zotero.org/users/local/lLjYRh4M/items/9HKGID9W"],"itemData":{"id":54,"type":"article-journal","title":"Tuberculosis in a low-incidence US area: local consequences of global disruptions","container-title":"Int J Tuberc Lung Dis","page":"506-12","volume":"12","issue":"5","source":"NLM","archive_location":"18419885","abstract":"SETTING: Tuberculosis (TB) in the United States is increasingly concentrated among foreign-born persons. The northeastern states, including Connecticut, are among those with the highest proportion of foreign-born patients. METHODS: This retrospective analysis of surveillance data from Connecticut for 1996 through 2005 compared TB case rates and risk factors among US-born and foreign-born persons. RESULTS: Between 1996 and 2005, TB cases declined by 8.7% in foreign-born persons and by 53.6% in US-born persons. The median annual incidence rate for foreign-born persons was 19.7 cases per 100000 population compared with 1.5 for US-born persons. Refugees had the highest TB rate (116 cases/100000) in the first year of their arrival. Resistance to any drug was more common among foreign-born persons (15.0%) than among US-born persons (9.3%). Although the proportion of multidrug-resistant TB was highest among foreign-born persons with prior TB (5.6%), most cases occurred in those without prior TB. Risk factors for TB, such as human immunodeficiency virus infection, drug use, incarceration and homelessness, were more common among US-born TB patients than among foreign-born patients. CONCLUSIONS: Although TB case rates for US-born persons in Connecticut have declined dramatically, foreign-born persons, including refugees fleeing conflict, contribute disproportionately to the TB burden. Future efforts to eliminate TB must be directed toward immigrants and refugees.","ISSN":"1027-3719 (Print) 1027-3719","shortTitle":"Tuberculosis in a low-incidence US area: local consequences of global disruptions","journalAbbreviation":"The international journal of tuberculosis and lung disease : the official journal of the International Union against Tuberculosis and Lung Disease","language":"eng","author":[{"family":"Lobato","given":"M. N."},{"family":"Mohamed","given":"M. H."},{"family":"Hadler","given":"J. L."}],"issued":{"date-parts":[["2008",5]]}}}],"schema":"https://github.com/citation-style-language/schema/raw/master/csl-citation.json"}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(85)</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2008</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vAlign w:val="center"/>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CB2808" w:rsidRPr="009F01A3" w:rsidRDefault="00CB2808" w:rsidP="00CB2808">
            <w:pPr>
              <w:rPr>
                <w:rFonts w:ascii="Times New Roman" w:eastAsia="Calibri" w:hAnsi="Times New Roman" w:cs="Times New Roman"/>
                <w:sz w:val="16"/>
                <w:szCs w:val="16"/>
                <w:lang w:eastAsia="pt-BR"/>
              </w:rPr>
            </w:pPr>
            <w:proofErr w:type="spellStart"/>
            <w:r w:rsidRPr="009F01A3">
              <w:rPr>
                <w:rFonts w:ascii="Times New Roman" w:eastAsia="Calibri" w:hAnsi="Times New Roman" w:cs="Times New Roman"/>
                <w:sz w:val="16"/>
                <w:szCs w:val="16"/>
                <w:lang w:eastAsia="pt-BR"/>
              </w:rPr>
              <w:t>Bosnia</w:t>
            </w:r>
            <w:proofErr w:type="spellEnd"/>
            <w:r w:rsidRPr="009F01A3">
              <w:rPr>
                <w:rFonts w:ascii="Times New Roman" w:eastAsia="Calibri" w:hAnsi="Times New Roman" w:cs="Times New Roman"/>
                <w:sz w:val="16"/>
                <w:szCs w:val="16"/>
                <w:lang w:eastAsia="pt-BR"/>
              </w:rPr>
              <w:t xml:space="preserve">; Vietnam; </w:t>
            </w:r>
            <w:proofErr w:type="spellStart"/>
            <w:r w:rsidRPr="009F01A3">
              <w:rPr>
                <w:rFonts w:ascii="Times New Roman" w:eastAsia="Calibri" w:hAnsi="Times New Roman" w:cs="Times New Roman"/>
                <w:sz w:val="16"/>
                <w:szCs w:val="16"/>
                <w:lang w:eastAsia="pt-BR"/>
              </w:rPr>
              <w:t>Somalia</w:t>
            </w:r>
            <w:proofErr w:type="spellEnd"/>
            <w:r w:rsidRPr="009F01A3">
              <w:rPr>
                <w:rFonts w:ascii="Times New Roman" w:eastAsia="Calibri" w:hAnsi="Times New Roman" w:cs="Times New Roman"/>
                <w:sz w:val="16"/>
                <w:szCs w:val="16"/>
                <w:lang w:eastAsia="pt-BR"/>
              </w:rPr>
              <w:t xml:space="preserve">; Congo; </w:t>
            </w:r>
            <w:proofErr w:type="spellStart"/>
            <w:r w:rsidRPr="009F01A3">
              <w:rPr>
                <w:rFonts w:ascii="Times New Roman" w:eastAsia="Calibri" w:hAnsi="Times New Roman" w:cs="Times New Roman"/>
                <w:sz w:val="16"/>
                <w:szCs w:val="16"/>
                <w:lang w:eastAsia="pt-BR"/>
              </w:rPr>
              <w:t>Eritrea</w:t>
            </w:r>
            <w:proofErr w:type="spellEnd"/>
            <w:r w:rsidRPr="009F01A3">
              <w:rPr>
                <w:rFonts w:ascii="Times New Roman" w:eastAsia="Calibri" w:hAnsi="Times New Roman" w:cs="Times New Roman"/>
                <w:sz w:val="16"/>
                <w:szCs w:val="16"/>
                <w:lang w:eastAsia="pt-BR"/>
              </w:rPr>
              <w:t xml:space="preserve">; Haiti; </w:t>
            </w:r>
            <w:proofErr w:type="spellStart"/>
            <w:r w:rsidRPr="009F01A3">
              <w:rPr>
                <w:rFonts w:ascii="Times New Roman" w:eastAsia="Calibri" w:hAnsi="Times New Roman" w:cs="Times New Roman"/>
                <w:sz w:val="16"/>
                <w:szCs w:val="16"/>
                <w:lang w:eastAsia="pt-BR"/>
              </w:rPr>
              <w:t>Cambodia</w:t>
            </w:r>
            <w:proofErr w:type="spellEnd"/>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1996</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2005</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CB2808" w:rsidRPr="009F01A3" w:rsidRDefault="00CB2808" w:rsidP="00CB2808">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4,904</w:t>
            </w:r>
          </w:p>
        </w:tc>
        <w:tc>
          <w:tcPr>
            <w:tcW w:w="303"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304" w:type="pct"/>
          </w:tcPr>
          <w:p w:rsidR="00CB2808" w:rsidRPr="009F01A3" w:rsidRDefault="00CB2808" w:rsidP="00CB2808">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252"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202"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38.38</w:t>
            </w:r>
          </w:p>
        </w:tc>
      </w:tr>
      <w:tr w:rsidR="00CB2808" w:rsidRPr="009F01A3" w:rsidTr="009C09C1">
        <w:tc>
          <w:tcPr>
            <w:tcW w:w="415" w:type="pct"/>
          </w:tcPr>
          <w:p w:rsidR="00CB2808" w:rsidRPr="009F01A3" w:rsidRDefault="00CB2808" w:rsidP="00CB2808">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sz w:val="16"/>
                <w:szCs w:val="16"/>
                <w:lang w:val="en-US" w:eastAsia="pt-BR"/>
              </w:rPr>
              <w:t>Subedi</w:t>
            </w:r>
            <w:proofErr w:type="spellEnd"/>
            <w:r w:rsidRPr="009F01A3">
              <w:rPr>
                <w:rFonts w:ascii="Times New Roman" w:eastAsia="Times New Roman" w:hAnsi="Times New Roman" w:cs="Times New Roman"/>
                <w:sz w:val="16"/>
                <w:szCs w:val="16"/>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2oblo9bsjt","properties":{"formattedCitation":"(46)","plainCitation":"(46)","noteIndex":0},"citationItems":[{"id":"mvNZPZfg/tKCtpgyj","uris":["http://zotero.org/users/local/lLjYRh4M/items/JE6FBTPV"],"uri":["http://zotero.org/users/local/lLjYRh4M/items/JE6FBTPV"],"itemData":{"id":89,"type":"article-journal","title":"Evaluation of latent tuberculous infection and treatment completion for refugees in Philadelphia, PA, 2010-2012","container-title":"Int J Tuberc Lung Dis","page":"565-9","volume":"19","issue":"5","source":"NLM","archive_location":"25868025","abstract":"SETTING: Philadelphia, PA, USA. OBJECTIVES: To compare the evaluation and treatment of latent tuberculous infection (LTBI) in refugees seen at member clinics of the Philadelphia Refugee Health Collaborative (PRHC) vs. non-PRHC clinics. DESIGN: Refugees with Class B (non-communicable) tuberculosis (TB) admitted to the United States from 2010 to 2012 who were being treated at PRHC clinics were compared to those treated at non-PRHC clinics. Odds ratios (ORs) for attending a follow-up appointment, completing treatment, and time from arrival to the United States to the first TB screening test were calculated. RESULTS: Of the 2094 refugees who arrived in Philadelphia in 2010-2012, the Philadelphia Department of Public Health was notified of 149 who required additional evaluation for TB. Among these, 57 (38.3%) were confirmed to have LTBI, and none were diagnosed with active TB. All LTBI cases were recommended for anti-tuberculosis prophylaxis and 43 (75.4%) completed treatment. Refugees receiving care from PRHC clinics were more likely to be screened within 30 days of arrival (OR 4.70, 95%CI 2.12-10.44), attend a follow-up appointment (OR 4.53, 95%CI 1.36-16.27), and complete treatment (OR 9.44, 95%CI 2.39-37.3). CONCLUSION: Refugees who attended PRHC clinics were more likely to be evaluated promptly and to complete LTBI treatment. The PRHC clinics serve as a model for communities seeking to improve refugee health care.","DOI":"10.5588/ijtld.14.0729","ISSN":"1027-3719","shortTitle":"Evaluation of latent tuberculous infection and treatment completion for refugees in Philadelphia, PA, 2010-2012","journalAbbreviation":"The international journal of tuberculosis and lung disease : the official journal of the International Union against Tuberculosis and Lung Disease","language":"eng","author":[{"family":"Subedi","given":"P."},{"family":"Drezner","given":"K. A."},{"family":"Dogbey","given":"M. C."},{"family":"Newbern","given":"E. C."},{"family":"Yun","given":"K."},{"family":"Scott","given":"K. C."},{"family":"Garland","given":"J. M."},{"family":"Altshuler","given":"M. J."},{"family":"Johnson","given":"C. C."}],"issued":{"date-parts":[["2015",5]]}}}],"schema":"https://github.com/citation-style-language/schema/raw/master/csl-citation.json"}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(46)</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2015</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vAlign w:val="center"/>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Bhutan; Burma</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2010</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2012</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CB2808" w:rsidRPr="009F01A3" w:rsidRDefault="00CB2808" w:rsidP="00CB2808">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149</w:t>
            </w:r>
          </w:p>
        </w:tc>
        <w:tc>
          <w:tcPr>
            <w:tcW w:w="303"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46.3</w:t>
            </w:r>
          </w:p>
        </w:tc>
        <w:tc>
          <w:tcPr>
            <w:tcW w:w="304" w:type="pct"/>
          </w:tcPr>
          <w:p w:rsidR="00CB2808" w:rsidRPr="009F01A3" w:rsidRDefault="00CB2808" w:rsidP="00CB2808">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38.26</w:t>
            </w:r>
          </w:p>
        </w:tc>
      </w:tr>
      <w:tr w:rsidR="00CB2808" w:rsidRPr="009F01A3" w:rsidTr="009C09C1">
        <w:tc>
          <w:tcPr>
            <w:tcW w:w="415"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 xml:space="preserve">Goldberg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mos61pj1q","properties":{"formattedCitation":"(97)","plainCitation":"(97)","noteIndex":0},"citationItems":[{"id":"mvNZPZfg/LUwnnMBe","uris":["http://zotero.org/users/local/lLjYRh4M/items/I4GNM6TX"],"uri":["http://zotero.org/users/local/lLjYRh4M/items/I4GNM6TX"],"itemData":{"id":26,"type":"article-journal","title":"Cultural case management of latent tuberculosis infection","container-title":"Int J Tuberc Lung Dis","page":"76-82","volume":"8","issue":"1","source":"NLM","archive_location":"14974749","abstract":"SETTING: The proportion of tuberculosis (TB) among foreign-born individuals in the United States is steadily increasing. Treatment of latent TB infection can prevent future cases of disease, although generally only 60% of patients who start a 6-month regimen of isoniazid complete therapy. OBJECTIVE: Cultural case management--employing case manager cultural mediators who serve patient-defined needs in addition to performing TB control functions--may improve results of testing and treatment in one high-risk group, new refugees. DESIGN: A cultural case management approach was established for finding and treating latent TB infection among three groups of new refugees: from the former Soviet Union (FSU), former Yugoslavia (FY), and Somalia. RESULTS: From July 1999 through December 2000, treatment was offered to 442 refugees, of whom 389 (88%) started and 319 (82%) completed therapy. The completion rate among starters from the FSU was 76%, for those from FY it was 94% and for those from Somalia it was 88%. Among all refugees to whom treatment was offered, 319/442 (72%) completed therapy. CONCLUSION: Cultural case management may be a useful tool for expanding treatment of latent TB infection among foreign-born individuals.","ISSN":"1027-3719 (Print) 1027-3719","shortTitle":"Cultural case management of latent tuberculosis infection","journalAbbreviation":"The international journal of tuberculosis and lung disease : the official journal of the International Union against Tuberculosis and Lung Disease","language":"eng","author":[{"family":"Goldberg","given":"S. V."},{"family":"Wallace","given":"J."},{"family":"Jackson","given":"J. C."},{"family":"Chaulk","given":"C. P."},{"family":"Nolan","given":"C. M."}],"issued":{"date-parts":[["2004",1]]}}}],"schema":"https://github.com/citation-style-language/schema/raw/master/csl-citation.json"}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(97)</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2004</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vAlign w:val="center"/>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Soviet Union; Yugoslavia; Somalia</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1999</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2000</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CB2808" w:rsidRPr="009F01A3" w:rsidRDefault="00CB2808" w:rsidP="00CB2808">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2,194</w:t>
            </w:r>
          </w:p>
        </w:tc>
        <w:tc>
          <w:tcPr>
            <w:tcW w:w="303"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304" w:type="pct"/>
          </w:tcPr>
          <w:p w:rsidR="00CB2808" w:rsidRPr="009F01A3" w:rsidRDefault="00CB2808" w:rsidP="00CB2808">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37.06</w:t>
            </w:r>
          </w:p>
        </w:tc>
      </w:tr>
      <w:tr w:rsidR="00CB2808" w:rsidRPr="009F01A3" w:rsidTr="009C09C1">
        <w:tc>
          <w:tcPr>
            <w:tcW w:w="415"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Hobbs</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o5avn8fss","properties":{"formattedCitation":"(84)","plainCitation":"(84)","noteIndex":0},"citationItems":[{"id":"mvNZPZfg/9AZPMckb","uris":["http://zotero.org/users/local/lLjYRh4M/items/UAZR4MH2"],"uri":["http://zotero.org/users/local/lLjYRh4M/items/UAZR4MH2"],"itemData":{"id":40,"type":"article-journal","title":"The health status of asylum seekers screened by Auckland Public Health in 1999 and 2000","container-title":"N Z Med J","page":"U152","volume":"115","issue":"1160","source":"NLM","archive_location":"12362208","abstract":"AIM: Approximately 1500 to 1800 applications for refugee status are made to the New Zealand Immigration Service each year. Approximately one third of these asylum seekers receive health screening from Auckland Public Health. We report here key findings from this screening programme for the period 1999 to 2000. METHODS: The files of patients attending the Auckland Public Health Protection Asylum Seekers Screening Clinic at Green Lane Hospital were reviewed. Data on demographics, medical examination, diagnostic testing and referrals were analysed. RESULTS: Nine hundred people, mainly from Middle Eastern countries, received screening. Important findings were: symptoms of psychological illness (38.4%); Mantoux skin test positivity ( 36.4%); active tuberculosis (0.6%); TB infection requiring chemoprophylaxis (18%) or chest X-ray monitoring (15%); gut parasite infection; carrier state for alpha and beta thalassaemia and the heterozygous states for HbS and HbE; incomplete immunisation; and the need for referral to a secondary care service (32.6%). CONCLUSIONS: Immigrant communities in New Zealand have special healthcare needs, as well as experiencing language barriers, cultural differences and economic difficulties. Healthcare providers should be alert to these needs. Appropriate resources are required to address these issues in a timely fashion.","ISSN":"0028-8446","shortTitle":"The health status of asylum seekers screened by Auckland Public Health in 1999 and 2000","journalAbbreviation":"The New Zealand medical journal","language":"eng","author":[{"family":"Hobbs","given":"M."},{"family":"Moor","given":"C."},{"family":"Wansbrough","given":"T."},{"family":"Calder","given":"L."}],"issued":{"date-parts":[["2002",8,23]]}}}],"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(84)</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2002</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New Zealand</w:t>
            </w:r>
          </w:p>
        </w:tc>
        <w:tc>
          <w:tcPr>
            <w:tcW w:w="354" w:type="pct"/>
            <w:vAlign w:val="center"/>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Asylum Seeker</w:t>
            </w:r>
          </w:p>
        </w:tc>
        <w:tc>
          <w:tcPr>
            <w:tcW w:w="556"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Iran; Afghanistan; Siri Lanka; Czech Republic; Kuwait; Somalia; Iraq</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1999</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2000</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CB2808" w:rsidRPr="009F01A3" w:rsidRDefault="00CB2808" w:rsidP="00CB2808">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869</w:t>
            </w:r>
          </w:p>
        </w:tc>
        <w:tc>
          <w:tcPr>
            <w:tcW w:w="303"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31.9</w:t>
            </w:r>
          </w:p>
        </w:tc>
        <w:tc>
          <w:tcPr>
            <w:tcW w:w="304" w:type="pct"/>
          </w:tcPr>
          <w:p w:rsidR="00CB2808" w:rsidRPr="009F01A3" w:rsidRDefault="00CB2808" w:rsidP="00CB2808">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36.36</w:t>
            </w:r>
          </w:p>
        </w:tc>
      </w:tr>
      <w:tr w:rsidR="00CB2808" w:rsidRPr="009F01A3" w:rsidTr="009C09C1">
        <w:tc>
          <w:tcPr>
            <w:tcW w:w="415" w:type="pct"/>
          </w:tcPr>
          <w:p w:rsidR="00CB2808" w:rsidRPr="009F01A3" w:rsidRDefault="00CB2808" w:rsidP="00CB2808">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sz w:val="16"/>
                <w:szCs w:val="16"/>
                <w:lang w:val="en-US" w:eastAsia="pt-BR"/>
              </w:rPr>
              <w:t>Rennert</w:t>
            </w:r>
            <w:proofErr w:type="spellEnd"/>
            <w:r w:rsidRPr="009F01A3">
              <w:rPr>
                <w:rFonts w:ascii="Times New Roman" w:eastAsia="Times New Roman" w:hAnsi="Times New Roman" w:cs="Times New Roman"/>
                <w:sz w:val="16"/>
                <w:szCs w:val="16"/>
                <w:lang w:val="en-US" w:eastAsia="pt-BR"/>
              </w:rPr>
              <w:t xml:space="preserve">-May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28toj0r9gu","properties":{"formattedCitation":"(36)","plainCitation":"(36)","noteIndex":0},"citationItems":[{"id":"mvNZPZfg/slv42k8h","uris":["http://zotero.org/users/local/lLjYRh4M/items/VV3HQZQ3"],"uri":["http://zotero.org/users/local/lLjYRh4M/items/VV3HQZQ3"],"itemData":{"id":80,"type":"article-journal","title":"A Step toward Tuberculosis Elimination in a Low-Incidence Country: Successful Diagnosis and Treatment of Latent Tuberculosis Infection in a Refugee Clinic","container-title":"Can Respir J","page":"7980869","volume":"2016","source":"NLM","archive_location":"27445565","abstract":"Objectives. Approximately 65 percent of tuberculosis (TB) cases in Canada each year occur from reactivation in foreign-born individuals. Refugees are at high risk after immigration. Routine screening of this population for latent TB infection (LTBI) is generally considered infeasible. We evaluated the outcome of LTBI screening and treatment amongst refugees. Methods. Government-sponsored refugees in Edmonton are seen at the New Canadians' Clinic and screened for TB and LTBI. We reviewed records of patients between 2009 and 2011. Completeness of initial assessment, diagnosis of latent infection, and completion of LTBI treatment were evaluated. Treatment for LTBI was offered when patients had a positive Tuberculin Skin Test (TST) and risk factors for progression to TB. An Interferon-Gamma Release Assay (IGRA) was performed on all other TST positives; treatment is only offered if it was positive. Results. 949 refugees were evaluated. 746 TSTs were read, with 265 positive individuals. IGRA testing was performed in 203 TST positive individuals without other TB risk factors; 110 were positive. LTBI treatment was offered to 147 of 151 eligible patients, 141 accepted, and 103 completed a treatment course. Conclusion. We observed high proportions of patient retention, completion of investigations, and treatment. This care model promises to be a component of effective TB prevention in this high-risk population.","DOI":"10.1155/2016/7980869","ISSN":"1198-2241","shortTitle":"A Step toward Tuberculosis Elimination in a Low-Incidence Country: Successful Diagnosis and Treatment of Latent Tuberculosis Infection in a Refugee Clinic","journalAbbreviation":"Canadian respiratory journal","language":"eng","author":[{"family":"Rennert-May","given":"E."},{"family":"Hansen","given":"E."},{"family":"Zadeh","given":"T."},{"family":"Krinke","given":"V."},{"family":"Houston","given":"S."},{"family":"Cooper","given":"R."}],"issued":{"date-parts":[["2016"]]}}}],"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(36)</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2016</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Canada</w:t>
            </w:r>
          </w:p>
        </w:tc>
        <w:tc>
          <w:tcPr>
            <w:tcW w:w="354" w:type="pct"/>
            <w:vAlign w:val="center"/>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Sub-Saharan Africa; Middle East; South Asia; East and Southeast Asia</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2009</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2011</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CB2808" w:rsidRPr="009F01A3" w:rsidRDefault="00CB2808" w:rsidP="00CB2808">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746</w:t>
            </w:r>
          </w:p>
        </w:tc>
        <w:tc>
          <w:tcPr>
            <w:tcW w:w="303"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50.1</w:t>
            </w:r>
          </w:p>
        </w:tc>
        <w:tc>
          <w:tcPr>
            <w:tcW w:w="304" w:type="pct"/>
          </w:tcPr>
          <w:p w:rsidR="00CB2808" w:rsidRPr="009F01A3" w:rsidRDefault="00CB2808" w:rsidP="00CB2808">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202"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35.52</w:t>
            </w:r>
          </w:p>
        </w:tc>
      </w:tr>
      <w:tr w:rsidR="00CB2808" w:rsidRPr="009F01A3" w:rsidTr="009C09C1">
        <w:tc>
          <w:tcPr>
            <w:tcW w:w="415"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Board</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18kpjoaa9i","properties":{"formattedCitation":"(98)","plainCitation":"(98)","noteIndex":0},"citationItems":[{"id":"mvNZPZfg/CnCArhjT","uris":["http://zotero.org/users/local/lLjYRh4M/items/KWZZSGPE"],"uri":["http://zotero.org/users/local/lLjYRh4M/items/KWZZSGPE"],"itemData":{"id":10,"type":"article-journal","title":"The interrelation between intestinal parasites and latent TB infections among newly resettled refugees in Texas","container-title":"Int Health","page":"67-72","volume":"8","issue":"1","source":"NLM","archive_location":"25995214","abstract":"BACKGROUND: Previous research has documented that parasite infection may increase vulnerability to TB among certain at risk populations. The purpose of this study was to identify whether an association exists between latent tuberculosis infection (LTBI) and intestinal parasite infection among newly resettled refugees in Texas while controlling for additional effects of region of origin, age and sex. METHODS: Data for all refugees screened for both TB and intestinal parasites between January 2010 and mid-October 2013 were obtained from the Texas Refugee Health Screening Program and were analyzed using logistic regression. RESULTS: A total of 9860 refugees were included. In multivariable logistic regression analysis, pathogenic and non-pathogenic intestinal parasite infections yielded statistically significant reduced odds of LTBI. However, when individual parasite species were analyzed, hookworm infection indicated statistically significant increased odds of LTBI (OR 1.674, CI: 1.126-2.488). DISCUSSION: A positive association exists between hookworm infection and LTBI in newly arrived refugees to Texas. More research is needed to assess the nature and extent of these associations.","DOI":"10.1093/inthealth/ihv033","ISSN":"1876-3405","shortTitle":"The interrelation between intestinal parasites and latent TB infections among newly resettled refugees in Texas","journalAbbreviation":"International health","language":"eng","author":[{"family":"Board","given":"A. R."},{"family":"Suzuki","given":"S."}],"issued":{"date-parts":[["2016",1]]}}}],"schema":"https://github.com/citation-style-language/schema/raw/master/csl-citation.json"}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(98)</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2016</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vAlign w:val="center"/>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Southeast Asia; South Asia; Middle East; Sub-Saharan Africa</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2010</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2013</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CB2808" w:rsidRPr="009F01A3" w:rsidRDefault="00CB2808" w:rsidP="00CB2808">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9,860</w:t>
            </w:r>
          </w:p>
        </w:tc>
        <w:tc>
          <w:tcPr>
            <w:tcW w:w="303"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45.8</w:t>
            </w:r>
          </w:p>
        </w:tc>
        <w:tc>
          <w:tcPr>
            <w:tcW w:w="304" w:type="pct"/>
          </w:tcPr>
          <w:p w:rsidR="00CB2808" w:rsidRPr="009F01A3" w:rsidRDefault="00CB2808" w:rsidP="00CB2808">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36.2</w:t>
            </w:r>
          </w:p>
        </w:tc>
        <w:tc>
          <w:tcPr>
            <w:tcW w:w="303"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29.2</w:t>
            </w:r>
          </w:p>
        </w:tc>
        <w:tc>
          <w:tcPr>
            <w:tcW w:w="291"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32.95</w:t>
            </w:r>
          </w:p>
        </w:tc>
      </w:tr>
      <w:tr w:rsidR="00CB2808" w:rsidRPr="009F01A3" w:rsidTr="009C09C1">
        <w:tc>
          <w:tcPr>
            <w:tcW w:w="415"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 xml:space="preserve">Nisbet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hjrfuu5m","properties":{"formattedCitation":"(4)","plainCitation":"(4)","noteIndex":0},"citationItems":[{"id":"mvNZPZfg/jCa0OoNC","uris":["http://zotero.org/users/local/lLjYRh4M/items/AEJGQBK6"],"uri":["http://zotero.org/users/local/lLjYRh4M/items/AEJGQBK6"],"itemData":{"id":68,"type":"article-journal","title":"Good outcome in HIV-infected refugees after resettlement in New Zealand: population study","container-title":"Intern Med J","page":"290-4","volume":"37","issue":"5","source":"NLM","archive_location":"17504275","abstract":"BACKGROUND: The aims of this study were to determine the clinical characteristics on arrival and the subsequent clinical outcome of HIV-infected UN quota refugees who settled in New Zealand during the last 11 years and to estimate their rate of HIV transmission. METHODS: A population study was conducted. Data were provided by the Mangere Refugee Resettlement Centre, the infectious disease physicians caring for the subjects, the New Zealand AIDS Epidemiology Group and laboratories carrying out HIV viral load assays. RESULTS: One hundred of 7732 (1.3%) UN quota refugees were HIV positive; mean age 30 years, 56% were men, median initial CD4 count was 320 (range 20-1358). HIV infection was most commonly acquired by heterosexual intercourse (74%). The median follow up was 5.0 years (range 1 month to 9.7 years). Five died and 15 subjects had 16 AIDS-defining illnesses, most commonly tuberculosis (n = 10). Sixty subjects commenced highly active antiretroviral therapy of whom 36/59 (61%) had an undetectable HIV viral load after 1 year of treatment. None of the six children born to HIV-infected women in New Zealand were infected. There were two known cases of horizontal transmission of HIV infection. CONCLUSION: Although HIV-infected quota refugees often have to overcome severe social, cultural and financial handicaps, their clinical outcome is generally very good, with response rates to highly active antiretroviral therapy that are similar to other patient groups. Furthermore, they have not been a significant source of transmission of HIV infection after resettlement in New Zealand.","DOI":"10.1111/j.1445-5994.2007.01335.x","ISSN":"1444-0903","shortTitle":"Good outcome in HIV-infected refugees after resettlement in New Zealand: population study","journalAbbreviation":"Internal medicine journal","language":"eng","author":[{"family":"Nisbet","given":"S. M."},{"family":"Reeve","given":"A. M."},{"family":"Ellis-Pegler","given":"R. B."},{"family":"Woodhouse","given":"A. F."},{"family":"Ingram","given":"R. J."},{"family":"Roberts","given":"S. A."},{"family":"McAllister","given":"S. M."},{"family":"Thomas","given":"M. G."}],"issued":{"date-parts":[["2007",5]]}}}],"schema":"https://github.com/citation-style-language/schema/raw/master/csl-citation.json"}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val="en-US" w:eastAsia="pt-BR"/>
              </w:rPr>
              <w:t>(4)</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2007</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New Zealand</w:t>
            </w:r>
          </w:p>
        </w:tc>
        <w:tc>
          <w:tcPr>
            <w:tcW w:w="354" w:type="pct"/>
            <w:vAlign w:val="center"/>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Ethiopia; Somalia; Vietnam</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1993</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2004</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CB2808" w:rsidRPr="009F01A3" w:rsidRDefault="00CB2808" w:rsidP="00CB2808">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100</w:t>
            </w:r>
          </w:p>
        </w:tc>
        <w:tc>
          <w:tcPr>
            <w:tcW w:w="303"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44.0</w:t>
            </w:r>
          </w:p>
        </w:tc>
        <w:tc>
          <w:tcPr>
            <w:tcW w:w="304" w:type="pct"/>
          </w:tcPr>
          <w:p w:rsidR="00CB2808" w:rsidRPr="009F01A3" w:rsidRDefault="00CB2808" w:rsidP="00CB2808">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5</w:t>
            </w:r>
          </w:p>
        </w:tc>
        <w:tc>
          <w:tcPr>
            <w:tcW w:w="202"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32.00</w:t>
            </w:r>
          </w:p>
        </w:tc>
      </w:tr>
      <w:tr w:rsidR="00CB2808" w:rsidRPr="009F01A3" w:rsidTr="009C09C1">
        <w:tc>
          <w:tcPr>
            <w:tcW w:w="415" w:type="pct"/>
          </w:tcPr>
          <w:p w:rsidR="00CB2808" w:rsidRPr="009F01A3" w:rsidRDefault="00CB2808" w:rsidP="00CB2808">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sz w:val="16"/>
                <w:szCs w:val="16"/>
                <w:lang w:val="en-US" w:eastAsia="pt-BR"/>
              </w:rPr>
              <w:t>Trauer</w:t>
            </w:r>
            <w:proofErr w:type="spellEnd"/>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hvq09vng7","properties":{"formattedCitation":"(47)","plainCitation":"(47)","noteIndex":0},"citationItems":[{"id":"mvNZPZfg/45f4Hn28","uris":["http://zotero.org/users/local/lLjYRh4M/items/S6QFB96Q"],"uri":["http://zotero.org/users/local/lLjYRh4M/items/S6QFB96Q"],"itemData":{"id":97,"type":"article-journal","title":"Assessment and management of latent tuberculosis infection in a refugee population in the Northern Territory","container-title":"Med J Aust","page":"579-82","volume":"194","issue":"11","source":"NLM","archive_location":"21644870","abstract":"OBJECTIVES: To assess the prevalence of latent tuberculosis infection (LTBI) in recently arrived refugees in the Northern Territory and to obtain comprehensive data for rates of treatment acceptance and completion for this condition. DESIGN, SETTING AND PARTICIPANTS: Prospective data collection and follow-up of all 471 newly arrived refugees seen at the Centre for Disease Control, NT refugee health clinic from February 2006 to January 2009. MAIN OUTCOME MEASURES: Rates of LTBI determined by tuberculin skin testing; subsequent assessment and treatment compared with local protocols. RESULTS: 458 of 465 eligible refugees were adequately assessed for LTBI, of whom 146 (31.9%) were diagnosed with LTBI. Older age, male sex and World Health Organization Eastern Mediterranean region of birth were associated with increased prevalences of LTBI. Of the refugees diagnosed with LTBI, 10 failed to attend for follow-up and 15 were not offered treatment. Isoniazid therapy was accepted by 93 of 121 refugees (76.9%), and 41 of these (44.1%) completed treatment. The most common reasons for discontinuation of therapy were medication-related side effects (most often gastrointestinal) and loss to follow-up. Increasing age was associated with failure to complete treatment. CONCLUSION: Outcomes of assessment and treatment for LTBI in newly arrived refugees in the NT are comparable to those for other target groups screened in developed countries. Loss to follow-up caused significant attrition in numbers, but complete data were obtained for a large proportion of eligible refugees. Most refugees who are offered treatment for LTBI accept, but less than half complete treatment.","ISSN":"0025-729x","shortTitle":"Assessment and management of latent tuberculosis infection in a refugee population in the Northern Territory","journalAbbreviation":"The Medical journal of Australia","language":"eng","author":[{"family":"Trauer","given":"J. M."},{"family":"Krause","given":"V. L."}],"issued":{"date-parts":[["2011",6,6]]}}}],"schema":"https://github.com/citation-style-language/schema/raw/master/csl-citation.json"}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val="en-US" w:eastAsia="pt-BR"/>
              </w:rPr>
              <w:t>(47)</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2011</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Australia</w:t>
            </w:r>
          </w:p>
        </w:tc>
        <w:tc>
          <w:tcPr>
            <w:tcW w:w="354" w:type="pct"/>
            <w:vAlign w:val="center"/>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Africa; Eastern Mediterranean; Southeast Asia</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2006</w:t>
            </w:r>
          </w:p>
        </w:tc>
        <w:tc>
          <w:tcPr>
            <w:tcW w:w="202" w:type="pct"/>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2009</w:t>
            </w:r>
          </w:p>
        </w:tc>
        <w:tc>
          <w:tcPr>
            <w:tcW w:w="303" w:type="pct"/>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CB2808" w:rsidRPr="009F01A3" w:rsidRDefault="00CB2808" w:rsidP="00CB2808">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458</w:t>
            </w:r>
          </w:p>
        </w:tc>
        <w:tc>
          <w:tcPr>
            <w:tcW w:w="303"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56.1</w:t>
            </w:r>
          </w:p>
        </w:tc>
        <w:tc>
          <w:tcPr>
            <w:tcW w:w="304" w:type="pct"/>
          </w:tcPr>
          <w:p w:rsidR="00CB2808" w:rsidRPr="009F01A3" w:rsidRDefault="00CB2808" w:rsidP="00CB2808">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36.0</w:t>
            </w:r>
          </w:p>
        </w:tc>
        <w:tc>
          <w:tcPr>
            <w:tcW w:w="303"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28.6</w:t>
            </w:r>
          </w:p>
        </w:tc>
        <w:tc>
          <w:tcPr>
            <w:tcW w:w="291" w:type="pct"/>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31.88</w:t>
            </w:r>
          </w:p>
        </w:tc>
      </w:tr>
      <w:tr w:rsidR="00CB2808" w:rsidRPr="009F01A3" w:rsidTr="009C09C1">
        <w:tc>
          <w:tcPr>
            <w:tcW w:w="415" w:type="pct"/>
            <w:tcBorders>
              <w:bottom w:val="single" w:sz="4" w:space="0" w:color="auto"/>
            </w:tcBorders>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Hensel</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s0a5g7i5q","properties":{"formattedCitation":"(99)","plainCitation":"(99)","noteIndex":0},"citationItems":[{"id":"mvNZPZfg/FVeVQ2Il","uris":["http://zotero.org/users/local/lLjYRh4M/items/6PBDAW3Q"],"uri":["http://zotero.org/users/local/lLjYRh4M/items/6PBDAW3Q"],"itemData":{"id":38,"type":"article-journal","title":"Increased risk of latent tuberculous infection among persons with pre-diabetes and diabetes mellitus","container-title":"Int J Tuberc Lung Dis","page":"71-8","volume":"20","issue":"1","source":"NLM","archive_location":"26688531","abstract":"SETTING: Although diabetes mellitus (DM) is an established risk factor for active tuberculosis (TB) disease, little is known about the association between pre-DM, DM, and latent tuberculous infection (LTBI). OBJECTIVE: To estimate the association between DM and LTBI. DESIGN: We conducted a cross-sectional study among recently arrived refugees seen at a health clinic in Atlanta, GA, USA, between 2013 and 2014. Patients were screened for DM using glycosylated-hemoglobin (HbA1c), and for LTBI using the QuantiFERON((R))-TB (QFT) test. HbA1c and QFT results, demographic information, and medical history were abstracted from patient charts. RESULTS: Among 702 included patients, 681 (97.0%) had HbA1c and QFT results. Overall, 54 (7.8%) patients had DM and 235 (33.8%) had pre-DM. LTBI was prevalent in 31.3% of the refugees. LTBI prevalence was significantly higher (P &lt; 0.01) among patients with DM (43.4%) and pre-DM (39.1%) than in those without DM (25.9%). Refugees with DM (adjusted OR [aOR] 2.3, 95%CI 1.2-4.5) and pre-DM (aOR 1.7, 95%CI 1.1-2.4) were more likely to have LTBI than those without DM. CONCLUSION: Refugees with DM or pre-DM from high TB burden countries were more likely to have LTBI than those without DM. Dysglycemia may impair the immune defenses involved in preventing Mycobacterium tuberculosis infection.","DOI":"10.5588/ijtld.15.0457","ISSN":"1027-3719","shortTitle":"Increased risk of latent tuberculous infection among persons with pre-diabetes and diabetes mellitus","journalAbbreviation":"The international journal of tuberculosis and lung disease : the official journal of the International Union against Tuberculosis and Lung Disease","language":"eng","author":[{"family":"Hensel","given":"R. L."},{"family":"Kempker","given":"R. R."},{"family":"Tapia","given":"J."},{"family":"Oladele","given":"A."},{"family":"Blumberg","given":"H. M."},{"family":"Magee","given":"M. J."}],"issued":{"date-parts":[["2016",1]]}}}],"schema":"https://github.com/citation-style-language/schema/raw/master/csl-citation.json"}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(99)</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Borders>
              <w:bottom w:val="single" w:sz="4" w:space="0" w:color="auto"/>
            </w:tcBorders>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2016</w:t>
            </w:r>
          </w:p>
        </w:tc>
        <w:tc>
          <w:tcPr>
            <w:tcW w:w="303" w:type="pct"/>
            <w:tcBorders>
              <w:bottom w:val="single" w:sz="4" w:space="0" w:color="auto"/>
            </w:tcBorders>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tcBorders>
              <w:bottom w:val="single" w:sz="4" w:space="0" w:color="auto"/>
            </w:tcBorders>
            <w:vAlign w:val="center"/>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Borders>
              <w:bottom w:val="single" w:sz="4" w:space="0" w:color="auto"/>
            </w:tcBorders>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Burma; Bhutan; Iraq; Somalia</w:t>
            </w:r>
          </w:p>
        </w:tc>
        <w:tc>
          <w:tcPr>
            <w:tcW w:w="202" w:type="pct"/>
            <w:tcBorders>
              <w:bottom w:val="single" w:sz="4" w:space="0" w:color="auto"/>
            </w:tcBorders>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2013</w:t>
            </w:r>
          </w:p>
        </w:tc>
        <w:tc>
          <w:tcPr>
            <w:tcW w:w="202" w:type="pct"/>
            <w:tcBorders>
              <w:bottom w:val="single" w:sz="4" w:space="0" w:color="auto"/>
            </w:tcBorders>
          </w:tcPr>
          <w:p w:rsidR="00CB2808" w:rsidRPr="009F01A3" w:rsidRDefault="00CB2808" w:rsidP="00CB2808">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2014</w:t>
            </w:r>
          </w:p>
        </w:tc>
        <w:tc>
          <w:tcPr>
            <w:tcW w:w="303" w:type="pct"/>
            <w:tcBorders>
              <w:bottom w:val="single" w:sz="4" w:space="0" w:color="auto"/>
            </w:tcBorders>
          </w:tcPr>
          <w:p w:rsidR="00CB2808" w:rsidRPr="009F01A3" w:rsidRDefault="00CB2808" w:rsidP="00CB2808">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Borders>
              <w:bottom w:val="single" w:sz="4" w:space="0" w:color="auto"/>
            </w:tcBorders>
          </w:tcPr>
          <w:p w:rsidR="00CB2808" w:rsidRPr="009F01A3" w:rsidRDefault="00CB2808" w:rsidP="00CB2808">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694</w:t>
            </w:r>
          </w:p>
        </w:tc>
        <w:tc>
          <w:tcPr>
            <w:tcW w:w="303" w:type="pct"/>
            <w:tcBorders>
              <w:bottom w:val="single" w:sz="4" w:space="0" w:color="auto"/>
            </w:tcBorders>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45.0</w:t>
            </w:r>
          </w:p>
        </w:tc>
        <w:tc>
          <w:tcPr>
            <w:tcW w:w="304" w:type="pct"/>
            <w:tcBorders>
              <w:bottom w:val="single" w:sz="4" w:space="0" w:color="auto"/>
            </w:tcBorders>
          </w:tcPr>
          <w:p w:rsidR="00CB2808" w:rsidRPr="009F01A3" w:rsidRDefault="00CB2808" w:rsidP="00CB2808">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Borders>
              <w:bottom w:val="single" w:sz="4" w:space="0" w:color="auto"/>
            </w:tcBorders>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IGRA</w:t>
            </w:r>
          </w:p>
        </w:tc>
        <w:tc>
          <w:tcPr>
            <w:tcW w:w="252" w:type="pct"/>
            <w:tcBorders>
              <w:bottom w:val="single" w:sz="4" w:space="0" w:color="auto"/>
            </w:tcBorders>
          </w:tcPr>
          <w:p w:rsidR="00CB2808" w:rsidRPr="009F01A3" w:rsidRDefault="00CB2808" w:rsidP="00CB2808">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NA</w:t>
            </w:r>
          </w:p>
        </w:tc>
        <w:tc>
          <w:tcPr>
            <w:tcW w:w="202" w:type="pct"/>
            <w:tcBorders>
              <w:bottom w:val="single" w:sz="4" w:space="0" w:color="auto"/>
            </w:tcBorders>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33.6</w:t>
            </w:r>
          </w:p>
        </w:tc>
        <w:tc>
          <w:tcPr>
            <w:tcW w:w="303" w:type="pct"/>
            <w:tcBorders>
              <w:bottom w:val="single" w:sz="4" w:space="0" w:color="auto"/>
            </w:tcBorders>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29.1</w:t>
            </w:r>
          </w:p>
        </w:tc>
        <w:tc>
          <w:tcPr>
            <w:tcW w:w="291" w:type="pct"/>
            <w:tcBorders>
              <w:bottom w:val="single" w:sz="4" w:space="0" w:color="auto"/>
            </w:tcBorders>
          </w:tcPr>
          <w:p w:rsidR="00CB2808" w:rsidRPr="009F01A3" w:rsidRDefault="00CB2808" w:rsidP="00CB2808">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31.84</w:t>
            </w:r>
          </w:p>
        </w:tc>
      </w:tr>
    </w:tbl>
    <w:p w:rsidR="009C09C1" w:rsidRDefault="009C09C1"/>
    <w:tbl>
      <w:tblPr>
        <w:tblStyle w:val="Tabelacomgrade"/>
        <w:tblW w:w="5012" w:type="pct"/>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4"/>
        <w:gridCol w:w="990"/>
        <w:gridCol w:w="851"/>
        <w:gridCol w:w="994"/>
        <w:gridCol w:w="1561"/>
        <w:gridCol w:w="567"/>
        <w:gridCol w:w="567"/>
        <w:gridCol w:w="851"/>
        <w:gridCol w:w="851"/>
        <w:gridCol w:w="851"/>
        <w:gridCol w:w="854"/>
        <w:gridCol w:w="994"/>
        <w:gridCol w:w="708"/>
        <w:gridCol w:w="567"/>
        <w:gridCol w:w="851"/>
        <w:gridCol w:w="817"/>
      </w:tblGrid>
      <w:tr w:rsidR="009C09C1" w:rsidRPr="009F01A3" w:rsidTr="009C09C1">
        <w:tc>
          <w:tcPr>
            <w:tcW w:w="415" w:type="pct"/>
            <w:vMerge w:val="restart"/>
            <w:tcBorders>
              <w:top w:val="single" w:sz="4" w:space="0" w:color="auto"/>
            </w:tcBorders>
            <w:vAlign w:val="center"/>
          </w:tcPr>
          <w:p w:rsidR="009C09C1" w:rsidRPr="009F01A3" w:rsidRDefault="009C09C1" w:rsidP="009C09C1">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First Author</w:t>
            </w:r>
          </w:p>
        </w:tc>
        <w:tc>
          <w:tcPr>
            <w:tcW w:w="353" w:type="pct"/>
            <w:vMerge w:val="restart"/>
            <w:tcBorders>
              <w:top w:val="single" w:sz="4" w:space="0" w:color="auto"/>
            </w:tcBorders>
            <w:vAlign w:val="center"/>
          </w:tcPr>
          <w:p w:rsidR="009C09C1" w:rsidRPr="009F01A3" w:rsidRDefault="009C09C1" w:rsidP="009C09C1">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Year of publication</w:t>
            </w:r>
          </w:p>
        </w:tc>
        <w:tc>
          <w:tcPr>
            <w:tcW w:w="303" w:type="pct"/>
            <w:vMerge w:val="restart"/>
            <w:tcBorders>
              <w:top w:val="single" w:sz="4" w:space="0" w:color="auto"/>
            </w:tcBorders>
            <w:vAlign w:val="center"/>
          </w:tcPr>
          <w:p w:rsidR="009C09C1" w:rsidRPr="009F01A3" w:rsidRDefault="009C09C1" w:rsidP="009C09C1">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Country of study</w:t>
            </w:r>
          </w:p>
        </w:tc>
        <w:tc>
          <w:tcPr>
            <w:tcW w:w="354" w:type="pct"/>
            <w:vMerge w:val="restart"/>
            <w:tcBorders>
              <w:top w:val="single" w:sz="4" w:space="0" w:color="auto"/>
            </w:tcBorders>
            <w:vAlign w:val="center"/>
          </w:tcPr>
          <w:p w:rsidR="009C09C1" w:rsidRPr="009F01A3" w:rsidRDefault="009C09C1" w:rsidP="009C09C1">
            <w:pPr>
              <w:contextualSpacing/>
              <w:jc w:val="center"/>
              <w:rPr>
                <w:rFonts w:ascii="Times New Roman" w:eastAsia="Times New Roman" w:hAnsi="Times New Roman" w:cs="Times New Roman"/>
                <w:b/>
                <w:bCs/>
                <w:color w:val="000000"/>
                <w:sz w:val="16"/>
                <w:szCs w:val="16"/>
                <w:lang w:val="en-US" w:eastAsia="pt-BR"/>
              </w:rPr>
            </w:pPr>
            <w:r w:rsidRPr="009F01A3">
              <w:rPr>
                <w:rFonts w:ascii="Times New Roman" w:hAnsi="Times New Roman" w:cs="Times New Roman"/>
                <w:b/>
                <w:bCs/>
                <w:sz w:val="16"/>
                <w:szCs w:val="16"/>
                <w:lang w:val="en-US"/>
              </w:rPr>
              <w:t>Population</w:t>
            </w:r>
          </w:p>
        </w:tc>
        <w:tc>
          <w:tcPr>
            <w:tcW w:w="556" w:type="pct"/>
            <w:vMerge w:val="restart"/>
            <w:tcBorders>
              <w:top w:val="single" w:sz="4" w:space="0" w:color="auto"/>
            </w:tcBorders>
            <w:vAlign w:val="center"/>
          </w:tcPr>
          <w:p w:rsidR="009C09C1" w:rsidRPr="009F01A3" w:rsidRDefault="009C09C1" w:rsidP="009C09C1">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color w:val="000000"/>
                <w:sz w:val="16"/>
                <w:szCs w:val="16"/>
                <w:lang w:val="en-US" w:eastAsia="pt-BR"/>
              </w:rPr>
              <w:t>Country / Region of origin</w:t>
            </w:r>
          </w:p>
        </w:tc>
        <w:tc>
          <w:tcPr>
            <w:tcW w:w="404" w:type="pct"/>
            <w:gridSpan w:val="2"/>
            <w:tcBorders>
              <w:top w:val="single" w:sz="4" w:space="0" w:color="auto"/>
            </w:tcBorders>
            <w:vAlign w:val="center"/>
          </w:tcPr>
          <w:p w:rsidR="009C09C1" w:rsidRPr="009F01A3"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Period of data collection</w:t>
            </w:r>
          </w:p>
        </w:tc>
        <w:tc>
          <w:tcPr>
            <w:tcW w:w="303" w:type="pct"/>
            <w:vMerge w:val="restart"/>
            <w:tcBorders>
              <w:top w:val="single" w:sz="4" w:space="0" w:color="auto"/>
            </w:tcBorders>
            <w:vAlign w:val="center"/>
          </w:tcPr>
          <w:p w:rsidR="009C09C1" w:rsidRPr="009F01A3"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color w:val="000000"/>
                <w:sz w:val="16"/>
                <w:szCs w:val="16"/>
                <w:lang w:val="en-US" w:eastAsia="pt-BR"/>
              </w:rPr>
              <w:t>Setting</w:t>
            </w:r>
          </w:p>
        </w:tc>
        <w:tc>
          <w:tcPr>
            <w:tcW w:w="303" w:type="pct"/>
            <w:vMerge w:val="restart"/>
            <w:tcBorders>
              <w:top w:val="single" w:sz="4" w:space="0" w:color="auto"/>
            </w:tcBorders>
            <w:vAlign w:val="center"/>
          </w:tcPr>
          <w:p w:rsidR="009C09C1" w:rsidRPr="009F01A3"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Sample*</w:t>
            </w:r>
          </w:p>
          <w:p w:rsidR="009C09C1" w:rsidRPr="009F01A3"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(n)</w:t>
            </w:r>
          </w:p>
        </w:tc>
        <w:tc>
          <w:tcPr>
            <w:tcW w:w="303" w:type="pct"/>
            <w:vMerge w:val="restart"/>
            <w:tcBorders>
              <w:top w:val="single" w:sz="4" w:space="0" w:color="auto"/>
            </w:tcBorders>
            <w:vAlign w:val="center"/>
          </w:tcPr>
          <w:p w:rsidR="009C09C1" w:rsidRPr="009F01A3" w:rsidRDefault="009C09C1" w:rsidP="009C09C1">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Women</w:t>
            </w:r>
          </w:p>
          <w:p w:rsidR="009C09C1" w:rsidRPr="009F01A3"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w:t>
            </w:r>
          </w:p>
        </w:tc>
        <w:tc>
          <w:tcPr>
            <w:tcW w:w="304" w:type="pct"/>
            <w:vMerge w:val="restart"/>
            <w:tcBorders>
              <w:top w:val="single" w:sz="4" w:space="0" w:color="auto"/>
            </w:tcBorders>
            <w:vAlign w:val="center"/>
          </w:tcPr>
          <w:p w:rsidR="009C09C1" w:rsidRPr="009F01A3"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Study design</w:t>
            </w:r>
          </w:p>
        </w:tc>
        <w:tc>
          <w:tcPr>
            <w:tcW w:w="354" w:type="pct"/>
            <w:vMerge w:val="restart"/>
            <w:tcBorders>
              <w:top w:val="single" w:sz="4" w:space="0" w:color="auto"/>
            </w:tcBorders>
            <w:vAlign w:val="center"/>
          </w:tcPr>
          <w:p w:rsidR="009C09C1" w:rsidRPr="009F01A3" w:rsidRDefault="009C09C1" w:rsidP="009C09C1">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Diagnostic test*</w:t>
            </w:r>
          </w:p>
        </w:tc>
        <w:tc>
          <w:tcPr>
            <w:tcW w:w="252" w:type="pct"/>
            <w:vMerge w:val="restart"/>
            <w:tcBorders>
              <w:top w:val="single" w:sz="4" w:space="0" w:color="auto"/>
            </w:tcBorders>
            <w:vAlign w:val="center"/>
          </w:tcPr>
          <w:p w:rsidR="009C09C1" w:rsidRPr="009F01A3" w:rsidRDefault="009C09C1" w:rsidP="009C09C1">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TST cutoff point (mm)</w:t>
            </w:r>
          </w:p>
        </w:tc>
        <w:tc>
          <w:tcPr>
            <w:tcW w:w="796" w:type="pct"/>
            <w:gridSpan w:val="3"/>
            <w:tcBorders>
              <w:top w:val="single" w:sz="4" w:space="0" w:color="auto"/>
            </w:tcBorders>
            <w:vAlign w:val="center"/>
          </w:tcPr>
          <w:p w:rsidR="009C09C1" w:rsidRPr="009F01A3" w:rsidRDefault="009C09C1" w:rsidP="009C09C1">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Prevalence</w:t>
            </w:r>
          </w:p>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b/>
                <w:bCs/>
                <w:sz w:val="16"/>
                <w:szCs w:val="16"/>
                <w:lang w:val="en-US"/>
              </w:rPr>
              <w:t>(%)</w:t>
            </w:r>
          </w:p>
        </w:tc>
      </w:tr>
      <w:tr w:rsidR="009C09C1" w:rsidRPr="009F01A3" w:rsidTr="009C09C1">
        <w:tc>
          <w:tcPr>
            <w:tcW w:w="415" w:type="pct"/>
            <w:vMerge/>
            <w:tcBorders>
              <w:bottom w:val="single" w:sz="4" w:space="0" w:color="auto"/>
            </w:tcBorders>
            <w:vAlign w:val="center"/>
          </w:tcPr>
          <w:p w:rsidR="009C09C1" w:rsidRPr="009F01A3" w:rsidRDefault="009C09C1" w:rsidP="009C09C1">
            <w:pPr>
              <w:contextualSpacing/>
              <w:jc w:val="center"/>
              <w:rPr>
                <w:rFonts w:ascii="Times New Roman" w:eastAsia="Times New Roman" w:hAnsi="Times New Roman" w:cs="Times New Roman"/>
                <w:b/>
                <w:bCs/>
                <w:sz w:val="16"/>
                <w:szCs w:val="16"/>
                <w:lang w:val="en-US" w:eastAsia="pt-BR"/>
              </w:rPr>
            </w:pPr>
          </w:p>
        </w:tc>
        <w:tc>
          <w:tcPr>
            <w:tcW w:w="353" w:type="pct"/>
            <w:vMerge/>
            <w:tcBorders>
              <w:bottom w:val="single" w:sz="4" w:space="0" w:color="auto"/>
            </w:tcBorders>
            <w:vAlign w:val="center"/>
          </w:tcPr>
          <w:p w:rsidR="009C09C1" w:rsidRPr="009F01A3" w:rsidRDefault="009C09C1" w:rsidP="009C09C1">
            <w:pPr>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9C09C1" w:rsidRPr="009F01A3" w:rsidRDefault="009C09C1" w:rsidP="009C09C1">
            <w:pPr>
              <w:contextualSpacing/>
              <w:jc w:val="center"/>
              <w:rPr>
                <w:rFonts w:ascii="Times New Roman" w:eastAsia="Times New Roman" w:hAnsi="Times New Roman" w:cs="Times New Roman"/>
                <w:b/>
                <w:bCs/>
                <w:sz w:val="16"/>
                <w:szCs w:val="16"/>
                <w:lang w:val="en-US" w:eastAsia="pt-BR"/>
              </w:rPr>
            </w:pPr>
          </w:p>
        </w:tc>
        <w:tc>
          <w:tcPr>
            <w:tcW w:w="354" w:type="pct"/>
            <w:vMerge/>
            <w:tcBorders>
              <w:bottom w:val="single" w:sz="4" w:space="0" w:color="auto"/>
            </w:tcBorders>
            <w:vAlign w:val="center"/>
          </w:tcPr>
          <w:p w:rsidR="009C09C1" w:rsidRPr="009F01A3" w:rsidRDefault="009C09C1" w:rsidP="009C09C1">
            <w:pPr>
              <w:contextualSpacing/>
              <w:jc w:val="center"/>
              <w:rPr>
                <w:rFonts w:ascii="Times New Roman" w:hAnsi="Times New Roman" w:cs="Times New Roman"/>
                <w:b/>
                <w:bCs/>
                <w:sz w:val="16"/>
                <w:szCs w:val="16"/>
                <w:lang w:val="en-US"/>
              </w:rPr>
            </w:pPr>
          </w:p>
        </w:tc>
        <w:tc>
          <w:tcPr>
            <w:tcW w:w="556" w:type="pct"/>
            <w:vMerge/>
            <w:tcBorders>
              <w:bottom w:val="single" w:sz="4" w:space="0" w:color="auto"/>
            </w:tcBorders>
            <w:vAlign w:val="center"/>
          </w:tcPr>
          <w:p w:rsidR="009C09C1" w:rsidRPr="009F01A3" w:rsidRDefault="009C09C1" w:rsidP="009C09C1">
            <w:pPr>
              <w:contextualSpacing/>
              <w:jc w:val="center"/>
              <w:rPr>
                <w:rFonts w:ascii="Times New Roman" w:eastAsia="Times New Roman" w:hAnsi="Times New Roman" w:cs="Times New Roman"/>
                <w:b/>
                <w:bCs/>
                <w:color w:val="000000"/>
                <w:sz w:val="16"/>
                <w:szCs w:val="16"/>
                <w:lang w:val="en-US" w:eastAsia="pt-BR"/>
              </w:rPr>
            </w:pPr>
          </w:p>
        </w:tc>
        <w:tc>
          <w:tcPr>
            <w:tcW w:w="202" w:type="pct"/>
            <w:tcBorders>
              <w:bottom w:val="single" w:sz="4" w:space="0" w:color="auto"/>
            </w:tcBorders>
            <w:vAlign w:val="center"/>
          </w:tcPr>
          <w:p w:rsidR="009C09C1" w:rsidRPr="009F01A3"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Start</w:t>
            </w:r>
          </w:p>
        </w:tc>
        <w:tc>
          <w:tcPr>
            <w:tcW w:w="202" w:type="pct"/>
            <w:tcBorders>
              <w:bottom w:val="single" w:sz="4" w:space="0" w:color="auto"/>
            </w:tcBorders>
            <w:vAlign w:val="center"/>
          </w:tcPr>
          <w:p w:rsidR="009C09C1" w:rsidRPr="009F01A3"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End</w:t>
            </w:r>
          </w:p>
        </w:tc>
        <w:tc>
          <w:tcPr>
            <w:tcW w:w="303" w:type="pct"/>
            <w:vMerge/>
            <w:tcBorders>
              <w:bottom w:val="single" w:sz="4" w:space="0" w:color="auto"/>
            </w:tcBorders>
            <w:vAlign w:val="center"/>
          </w:tcPr>
          <w:p w:rsidR="009C09C1" w:rsidRPr="009F01A3"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3" w:type="pct"/>
            <w:vMerge/>
            <w:tcBorders>
              <w:bottom w:val="single" w:sz="4" w:space="0" w:color="auto"/>
            </w:tcBorders>
            <w:vAlign w:val="center"/>
          </w:tcPr>
          <w:p w:rsidR="009C09C1" w:rsidRPr="009F01A3" w:rsidRDefault="009C09C1" w:rsidP="009C09C1">
            <w:pPr>
              <w:autoSpaceDE w:val="0"/>
              <w:autoSpaceDN w:val="0"/>
              <w:adjustRightInd w:val="0"/>
              <w:contextualSpacing/>
              <w:jc w:val="center"/>
              <w:rPr>
                <w:rFonts w:ascii="Times New Roman" w:hAnsi="Times New Roman" w:cs="Times New Roman"/>
                <w:b/>
                <w:bCs/>
                <w:sz w:val="16"/>
                <w:szCs w:val="16"/>
                <w:lang w:val="en-US"/>
              </w:rPr>
            </w:pPr>
          </w:p>
        </w:tc>
        <w:tc>
          <w:tcPr>
            <w:tcW w:w="303" w:type="pct"/>
            <w:vMerge/>
            <w:tcBorders>
              <w:bottom w:val="single" w:sz="4" w:space="0" w:color="auto"/>
            </w:tcBorders>
            <w:vAlign w:val="center"/>
          </w:tcPr>
          <w:p w:rsidR="009C09C1" w:rsidRPr="009F01A3"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4" w:type="pct"/>
            <w:vMerge/>
            <w:tcBorders>
              <w:bottom w:val="single" w:sz="4" w:space="0" w:color="auto"/>
            </w:tcBorders>
            <w:vAlign w:val="center"/>
          </w:tcPr>
          <w:p w:rsidR="009C09C1" w:rsidRPr="009F01A3" w:rsidRDefault="009C09C1" w:rsidP="009C09C1">
            <w:pPr>
              <w:autoSpaceDE w:val="0"/>
              <w:autoSpaceDN w:val="0"/>
              <w:adjustRightInd w:val="0"/>
              <w:contextualSpacing/>
              <w:jc w:val="center"/>
              <w:rPr>
                <w:rFonts w:ascii="Times New Roman" w:hAnsi="Times New Roman" w:cs="Times New Roman"/>
                <w:b/>
                <w:bCs/>
                <w:sz w:val="16"/>
                <w:szCs w:val="16"/>
                <w:lang w:val="en-US"/>
              </w:rPr>
            </w:pPr>
          </w:p>
        </w:tc>
        <w:tc>
          <w:tcPr>
            <w:tcW w:w="354" w:type="pct"/>
            <w:vMerge/>
            <w:tcBorders>
              <w:bottom w:val="single" w:sz="4" w:space="0" w:color="auto"/>
            </w:tcBorders>
            <w:vAlign w:val="center"/>
          </w:tcPr>
          <w:p w:rsidR="009C09C1" w:rsidRPr="009F01A3" w:rsidRDefault="009C09C1" w:rsidP="009C09C1">
            <w:pPr>
              <w:autoSpaceDE w:val="0"/>
              <w:autoSpaceDN w:val="0"/>
              <w:adjustRightInd w:val="0"/>
              <w:contextualSpacing/>
              <w:jc w:val="center"/>
              <w:rPr>
                <w:rFonts w:ascii="Times New Roman" w:hAnsi="Times New Roman" w:cs="Times New Roman"/>
                <w:b/>
                <w:bCs/>
                <w:sz w:val="16"/>
                <w:szCs w:val="16"/>
                <w:lang w:val="en-US"/>
              </w:rPr>
            </w:pPr>
          </w:p>
        </w:tc>
        <w:tc>
          <w:tcPr>
            <w:tcW w:w="252" w:type="pct"/>
            <w:vMerge/>
            <w:tcBorders>
              <w:bottom w:val="single" w:sz="4" w:space="0" w:color="auto"/>
            </w:tcBorders>
            <w:vAlign w:val="center"/>
          </w:tcPr>
          <w:p w:rsidR="009C09C1" w:rsidRPr="009F01A3"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202" w:type="pct"/>
            <w:tcBorders>
              <w:bottom w:val="single" w:sz="4" w:space="0" w:color="auto"/>
            </w:tcBorders>
            <w:vAlign w:val="center"/>
          </w:tcPr>
          <w:p w:rsidR="009C09C1" w:rsidRPr="009F01A3"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Men</w:t>
            </w:r>
          </w:p>
        </w:tc>
        <w:tc>
          <w:tcPr>
            <w:tcW w:w="303" w:type="pct"/>
            <w:tcBorders>
              <w:bottom w:val="single" w:sz="4" w:space="0" w:color="auto"/>
            </w:tcBorders>
            <w:vAlign w:val="center"/>
          </w:tcPr>
          <w:p w:rsidR="009C09C1" w:rsidRPr="009F01A3"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Women</w:t>
            </w:r>
          </w:p>
        </w:tc>
        <w:tc>
          <w:tcPr>
            <w:tcW w:w="291" w:type="pct"/>
            <w:tcBorders>
              <w:bottom w:val="single" w:sz="4" w:space="0" w:color="auto"/>
            </w:tcBorders>
            <w:vAlign w:val="center"/>
          </w:tcPr>
          <w:p w:rsidR="009C09C1" w:rsidRPr="009F01A3" w:rsidRDefault="009C09C1" w:rsidP="009C09C1">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Overall</w:t>
            </w:r>
          </w:p>
        </w:tc>
      </w:tr>
      <w:tr w:rsidR="009C09C1" w:rsidRPr="009F01A3" w:rsidTr="009C09C1">
        <w:tc>
          <w:tcPr>
            <w:tcW w:w="415" w:type="pct"/>
            <w:tcBorders>
              <w:top w:val="single" w:sz="4" w:space="0" w:color="auto"/>
            </w:tcBorders>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 xml:space="preserve">Walters </w:t>
            </w:r>
            <w:r w:rsidRPr="009F01A3">
              <w:rPr>
                <w:rFonts w:ascii="Times New Roman" w:eastAsia="Times New Roman" w:hAnsi="Times New Roman" w:cs="Times New Roman"/>
                <w:color w:val="000000"/>
                <w:sz w:val="16"/>
                <w:szCs w:val="16"/>
                <w:vertAlign w:val="superscript"/>
                <w:lang w:val="en-US" w:eastAsia="pt-BR"/>
              </w:rPr>
              <w:fldChar w:fldCharType="begin"/>
            </w:r>
            <w:r w:rsidRPr="009F01A3">
              <w:rPr>
                <w:rFonts w:ascii="Times New Roman" w:eastAsia="Times New Roman" w:hAnsi="Times New Roman" w:cs="Times New Roman"/>
                <w:color w:val="000000"/>
                <w:sz w:val="16"/>
                <w:szCs w:val="16"/>
                <w:vertAlign w:val="superscript"/>
                <w:lang w:val="en-US" w:eastAsia="pt-BR"/>
              </w:rPr>
              <w:instrText xml:space="preserve"> ADDIN ZOTERO_ITEM CSL_CITATION {"citationID":"a2dlepdlqk0","properties":{"formattedCitation":"(53)","plainCitation":"(53)","noteIndex":0},"citationItems":[{"id":"mvNZPZfg/AvTqrhG0","uris":["http://zotero.org/users/local/lLjYRh4M/items/R8YWPKAG"],"uri":["http://zotero.org/users/local/lLjYRh4M/items/R8YWPKAG"],"itemData":{"id":147,"type":"article-journal","title":"Impact of Routine Quantiferon Testing on Latent Tuberculosis Diagnosis and Treatment in Refugees in Multnomah County, Oregon, November 2009-October 2012","container-title":"J Immigr Minor Health","page":"292-300","volume":"18","issue":"2","source":"Nlm","archive_location":"25784140","abstract":"Interferon-gamma release assays have potentially been transformative to screening programs focused on latent tuberculosis infection (LTBI) in foreign-born persons. We sought to add to this assessment by presenting the impact of a well-established refugee screening and treatment program switching from skin testing to Quantiferon((R))-TB Gold (QFT). We completed a retrospective cohort of refugees screened for tuberculosis between November 1, 2009-April 30, 2011 (pre-QFT) and May 1, 2011-October 31, 2012 (post-QFT). Among 2244 refugees screened that met the inclusion criteria, there was a significant difference in the proportion of refugees diagnosed with LTBI between the two time periods (p = &lt;0.0001). In multivariate analysis, refugees tested with QFT had a greater odds of treatment initiation (adjusted odds ratio 1.53; 95% CI 1.02-2.29, p = 0.040). However, test type had no impact on treatment completion (odds ratio 0.88; 95% CI 0.57-1.36, p = 0.560). Although we demonstrated increased efficiency in LTBI diagnosis in this group, treatment completion rates indicate other barriers to treatment that must be addressed.","DOI":"10.1007/s10903-015-0187-z","ISSN":"1557-1912","shortTitle":"Impact of Routine Quantiferon Testing on Latent Tuberculosis Diagnosis and Treatment in Refugees in Multnomah County, Oregon, November 2009-October 2012","journalAbbreviation":"Journal of immigrant and minority health","language":"eng","author":[{"family":"Walters","given":"J. K."},{"family":"Sullivan","given":"A. D."}],"issued":{"date-parts":[["2016",4]]}}}],"schema":"https://github.com/citation-style-language/schema/raw/master/csl-citation.json"} </w:instrText>
            </w:r>
            <w:r w:rsidRPr="009F01A3">
              <w:rPr>
                <w:rFonts w:ascii="Times New Roman" w:eastAsia="Times New Roman" w:hAnsi="Times New Roman" w:cs="Times New Roman"/>
                <w:color w:val="000000"/>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(53)</w:t>
            </w:r>
            <w:r w:rsidRPr="009F01A3">
              <w:rPr>
                <w:rFonts w:ascii="Times New Roman" w:eastAsia="Times New Roman" w:hAnsi="Times New Roman" w:cs="Times New Roman"/>
                <w:color w:val="000000"/>
                <w:sz w:val="16"/>
                <w:szCs w:val="16"/>
                <w:vertAlign w:val="superscript"/>
                <w:lang w:val="en-US" w:eastAsia="pt-BR"/>
              </w:rPr>
              <w:fldChar w:fldCharType="end"/>
            </w:r>
          </w:p>
        </w:tc>
        <w:tc>
          <w:tcPr>
            <w:tcW w:w="353" w:type="pct"/>
            <w:tcBorders>
              <w:top w:val="single" w:sz="4" w:space="0" w:color="auto"/>
            </w:tcBorders>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2016</w:t>
            </w:r>
          </w:p>
        </w:tc>
        <w:tc>
          <w:tcPr>
            <w:tcW w:w="303" w:type="pct"/>
            <w:tcBorders>
              <w:top w:val="single" w:sz="4" w:space="0" w:color="auto"/>
            </w:tcBorders>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USA</w:t>
            </w:r>
          </w:p>
        </w:tc>
        <w:tc>
          <w:tcPr>
            <w:tcW w:w="354" w:type="pct"/>
            <w:tcBorders>
              <w:top w:val="single" w:sz="4" w:space="0" w:color="auto"/>
            </w:tcBorders>
            <w:vAlign w:val="center"/>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Mixed</w:t>
            </w:r>
          </w:p>
        </w:tc>
        <w:tc>
          <w:tcPr>
            <w:tcW w:w="556" w:type="pct"/>
            <w:tcBorders>
              <w:top w:val="single" w:sz="4" w:space="0" w:color="auto"/>
            </w:tcBorders>
          </w:tcPr>
          <w:p w:rsidR="009C09C1" w:rsidRPr="009F01A3" w:rsidRDefault="009C09C1" w:rsidP="009C09C1">
            <w:pPr>
              <w:rPr>
                <w:rFonts w:ascii="Times New Roman" w:eastAsia="Calibri" w:hAnsi="Times New Roman" w:cs="Times New Roman"/>
                <w:color w:val="000000"/>
                <w:sz w:val="16"/>
                <w:szCs w:val="16"/>
                <w:lang w:val="en-US" w:eastAsia="pt-BR"/>
              </w:rPr>
            </w:pPr>
            <w:r w:rsidRPr="009F01A3">
              <w:rPr>
                <w:rFonts w:ascii="Times New Roman" w:eastAsia="Calibri" w:hAnsi="Times New Roman" w:cs="Times New Roman"/>
                <w:color w:val="000000"/>
                <w:sz w:val="16"/>
                <w:szCs w:val="16"/>
                <w:lang w:val="en-US" w:eastAsia="pt-BR"/>
              </w:rPr>
              <w:t>Sub-Saharan Africa; Eastern Asia and Pacific; Middle East; Southeast Asia; Latin America and Caribbean</w:t>
            </w:r>
          </w:p>
        </w:tc>
        <w:tc>
          <w:tcPr>
            <w:tcW w:w="202" w:type="pct"/>
            <w:tcBorders>
              <w:top w:val="single" w:sz="4" w:space="0" w:color="auto"/>
            </w:tcBorders>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2009</w:t>
            </w:r>
          </w:p>
        </w:tc>
        <w:tc>
          <w:tcPr>
            <w:tcW w:w="202" w:type="pct"/>
            <w:tcBorders>
              <w:top w:val="single" w:sz="4" w:space="0" w:color="auto"/>
            </w:tcBorders>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2012</w:t>
            </w:r>
          </w:p>
        </w:tc>
        <w:tc>
          <w:tcPr>
            <w:tcW w:w="303" w:type="pct"/>
            <w:tcBorders>
              <w:top w:val="single" w:sz="4" w:space="0" w:color="auto"/>
            </w:tcBorders>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Symptomatic</w:t>
            </w:r>
          </w:p>
        </w:tc>
        <w:tc>
          <w:tcPr>
            <w:tcW w:w="303" w:type="pct"/>
            <w:tcBorders>
              <w:top w:val="single" w:sz="4" w:space="0" w:color="auto"/>
            </w:tcBorders>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2,244</w:t>
            </w:r>
          </w:p>
        </w:tc>
        <w:tc>
          <w:tcPr>
            <w:tcW w:w="303" w:type="pct"/>
            <w:tcBorders>
              <w:top w:val="single" w:sz="4" w:space="0" w:color="auto"/>
            </w:tcBorders>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44.4</w:t>
            </w:r>
          </w:p>
        </w:tc>
        <w:tc>
          <w:tcPr>
            <w:tcW w:w="304" w:type="pct"/>
            <w:tcBorders>
              <w:top w:val="single" w:sz="4" w:space="0" w:color="auto"/>
            </w:tcBorders>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Cohort</w:t>
            </w:r>
          </w:p>
        </w:tc>
        <w:tc>
          <w:tcPr>
            <w:tcW w:w="354" w:type="pct"/>
            <w:tcBorders>
              <w:top w:val="single" w:sz="4" w:space="0" w:color="auto"/>
            </w:tcBorders>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Borders>
              <w:top w:val="single" w:sz="4" w:space="0" w:color="auto"/>
            </w:tcBorders>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eastAsia="Calibri" w:hAnsi="Times New Roman" w:cs="Times New Roman"/>
                <w:sz w:val="16"/>
                <w:szCs w:val="16"/>
                <w:lang w:val="en-US"/>
              </w:rPr>
              <w:t>10</w:t>
            </w:r>
          </w:p>
        </w:tc>
        <w:tc>
          <w:tcPr>
            <w:tcW w:w="202" w:type="pct"/>
            <w:tcBorders>
              <w:top w:val="single" w:sz="4" w:space="0" w:color="auto"/>
            </w:tcBorders>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Borders>
              <w:top w:val="single" w:sz="4" w:space="0" w:color="auto"/>
            </w:tcBorders>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Borders>
              <w:top w:val="single" w:sz="4" w:space="0" w:color="auto"/>
            </w:tcBorders>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30.30</w:t>
            </w:r>
          </w:p>
        </w:tc>
      </w:tr>
      <w:tr w:rsidR="009C09C1" w:rsidRPr="009F01A3" w:rsidTr="009C09C1">
        <w:tc>
          <w:tcPr>
            <w:tcW w:w="415" w:type="pct"/>
          </w:tcPr>
          <w:p w:rsidR="009C09C1" w:rsidRPr="009F01A3" w:rsidRDefault="009C09C1" w:rsidP="009C09C1">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sz w:val="16"/>
                <w:szCs w:val="16"/>
                <w:lang w:val="en-US" w:eastAsia="pt-BR"/>
              </w:rPr>
              <w:t>Oeltmann</w:t>
            </w:r>
            <w:proofErr w:type="spellEnd"/>
            <w:r w:rsidRPr="009F01A3">
              <w:rPr>
                <w:rFonts w:ascii="Times New Roman" w:eastAsia="Times New Roman" w:hAnsi="Times New Roman" w:cs="Times New Roman"/>
                <w:sz w:val="16"/>
                <w:szCs w:val="16"/>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K3rciO4f","properties":{"formattedCitation":"(60)","plainCitation":"(60)","noteIndex":0},"citationItems":[{"id":"mvNZPZfg/3UWFsr6r","uris":["http://zotero.org/users/local/lLjYRh4M/items/2VXU4XHW"],"uri":["http://zotero.org/users/local/lLjYRh4M/items/2VXU4XHW"],"itemData":{"id":837,"type":"article-journal","title":"Multidrug-resistant tuberculosis outbreak among US-bound Hmong refugees, Thailand, 2005.","container-title":"Emerging infectious diseases","page":"1715-1721","volume":"14","issue":"11","abstract":"In January 2005, tuberculosis (TB), including multidrug-resistant TB (MDR TB), was reported among Hmong refugees who were living in or had recently immigrated to the United States from a camp in Thailand. We investigated TB and drug resistance, enhanced TB screenings, and expanded treatment capacity in the camp.  In February 2005, 272 patients with TB (24 MDR TB) remained in the camp. Among 17 MDR TB patients interviewed, 13 were found to be linked socially. Of 23 MDR TB isolates genotyped, 20 were similar according to 3 molecular typing methods. Before enhanced screening was implemented, 46 TB cases (6 MDR TB) were diagnosed  in the United States among 9,455 resettled refugees. After enhanced screening had begun, only 4 TB cases (1 MDR TB), were found among 5,705 resettled refugees. An  MDR TB outbreak among US-bound refugees led to importation of disease; enhanced pre-immigration TB screening and treatment decreased subsequent importation.","DOI":"10.3201/eid1411.071629","ISSN":"1080-6059 1080-6040","note":"PMID: 18976554 \nPMCID: PMC2630728","journalAbbreviation":"Emerg Infect Dis","language":"eng","author":[{"family":"Oeltmann","given":"John E."},{"family":"Varma","given":"Jay K."},{"family":"Ortega","given":"Luis"},{"family":"Liu","given":"Yecai"},{"family":"O'Rourke","given":"Thomas"},{"family":"Cano","given":"Maria"},{"family":"Harrington","given":"Theresa"},{"family":"Toney","given":"Sean"},{"family":"Jones","given":"Warren"},{"family":"Karuchit","given":"Samart"},{"family":"Diem","given":"Lois"},{"family":"Rienthong","given":"Dhanida"},{"family":"Tappero","given":"Jordan W."},{"family":"Ijaz","given":"Kashef"},{"family":"Maloney","given":"Susan A."}],"issued":{"date-parts":[["2008",11]]}}}],"schema":"https://github.com/citation-style-language/schema/raw/master/csl-citation.json"}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(60)</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2008</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vAlign w:val="center"/>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Thailand</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2004</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2005</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5,637</w:t>
            </w:r>
          </w:p>
        </w:tc>
        <w:tc>
          <w:tcPr>
            <w:tcW w:w="303"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41.2</w:t>
            </w:r>
          </w:p>
        </w:tc>
        <w:tc>
          <w:tcPr>
            <w:tcW w:w="304" w:type="pct"/>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5</w:t>
            </w:r>
          </w:p>
        </w:tc>
        <w:tc>
          <w:tcPr>
            <w:tcW w:w="202"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28.81</w:t>
            </w:r>
          </w:p>
        </w:tc>
      </w:tr>
      <w:tr w:rsidR="009C09C1" w:rsidRPr="009F01A3" w:rsidTr="009C09C1">
        <w:tc>
          <w:tcPr>
            <w:tcW w:w="415"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 xml:space="preserve">Banfield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25m5gcr69","properties":{"formattedCitation":"(37)","plainCitation":"(37)","noteIndex":0},"citationItems":[{"id":"mvNZPZfg/EnmS1WHc","uris":["http://zotero.org/users/local/lLjYRh4M/items/89P58PUH"],"uri":["http://zotero.org/users/local/lLjYRh4M/items/89P58PUH"],"itemData":{"id":158,"type":"article-journal","title":"Factors Associated with the Performance of a Blood-Based Interferon-γ Release Assay in Diagnosing Tuberculosis","container-title":"PLOS ONE","page":"e38556","volume":"7","issue":"6","abstract":"Background Indeterminate results are a recognised limitation of interferon-γ release assays (IGRA) in the diagnosis of latent tuberculosis (TB) infection (LTBI) and TB disease, especially in children. We investigated whether age and common co-morbidities were associated with IGRA performance in an unselected cohort of resettled refugees. Methods A retrospective cross-sectional study of refugees presenting for their post-resettlement health assessment during 2006 and 2007. Refugees were investigated for prevalent infectious diseases, including TB, and for common nutritional deficiencies and haematological abnormalities as part of standard clinical screening protocols. Tuberculosis screening was performed by IGRA; QuantiFERON-TB Gold in 2006 and QuantiFERON-TBGold In-Tube in 2007. Results Complete data were available on 1130 refugees, of whom 573 (51%) were children less than 17 years and 1041 (92%) were from sub-Saharan Africa. All individuals were HIV negative. A definitive IGRA result was obtained in 1004 (89%) refugees, 264 (26%) of which were positive; 256 (97%) had LTBI and 8 (3%) had TB disease. An indeterminate IGRA result was obtained in 126 (11%) refugees (all failed positive mitogen control). In multivariate analysis, younger age (linear OR = 0.93 [95% CI 0.91–0.95], P&lt;0.001), iron deficiency anaemia (2.69 [1.51–4.80], P = 0.001), malaria infection (3.04 [1.51–6.09], P = 0.002), and helminth infection (2.26 [1.48–3.46], P&lt;0.001), but not vitamin D deficiency or insufficiency, were associated with an indeterminate IGRA result. Conclusions Younger age and a number of common co-morbidities are significantly and independently associated with indeterminate IGRA results in resettled predominantly African refugees.","DOI":"10.1371/journal.pone.0038556","journalAbbreviation":"PLOS ONE","author":[{"family":"Banfield","given":"Sally"},{"family":"Pascoe","given":"Elaine"},{"family":"Thambiran","given":"Aesen"},{"family":"Siafarikas","given":"Aris"},{"family":"Burgner","given":"David"}],"issued":{"date-parts":[["2012",6,12]]}}}],"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(37)</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2012</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Australia</w:t>
            </w:r>
          </w:p>
        </w:tc>
        <w:tc>
          <w:tcPr>
            <w:tcW w:w="354" w:type="pct"/>
            <w:vAlign w:val="center"/>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9C09C1" w:rsidRPr="009F01A3" w:rsidRDefault="009C09C1" w:rsidP="009C09C1">
            <w:pPr>
              <w:rPr>
                <w:rFonts w:ascii="Times New Roman" w:eastAsia="Calibri" w:hAnsi="Times New Roman" w:cs="Times New Roman"/>
                <w:sz w:val="16"/>
                <w:szCs w:val="16"/>
                <w:lang w:eastAsia="pt-BR"/>
              </w:rPr>
            </w:pPr>
            <w:proofErr w:type="spellStart"/>
            <w:r w:rsidRPr="009F01A3">
              <w:rPr>
                <w:rFonts w:ascii="Times New Roman" w:eastAsia="Calibri" w:hAnsi="Times New Roman" w:cs="Times New Roman"/>
                <w:color w:val="000000"/>
                <w:sz w:val="16"/>
                <w:szCs w:val="16"/>
                <w:lang w:eastAsia="pt-BR"/>
              </w:rPr>
              <w:t>Sudan</w:t>
            </w:r>
            <w:proofErr w:type="spellEnd"/>
            <w:r w:rsidRPr="009F01A3">
              <w:rPr>
                <w:rFonts w:ascii="Times New Roman" w:eastAsia="Calibri" w:hAnsi="Times New Roman" w:cs="Times New Roman"/>
                <w:color w:val="000000"/>
                <w:sz w:val="16"/>
                <w:szCs w:val="16"/>
                <w:lang w:eastAsia="pt-BR"/>
              </w:rPr>
              <w:t xml:space="preserve">; Congo; </w:t>
            </w:r>
            <w:proofErr w:type="spellStart"/>
            <w:r w:rsidRPr="009F01A3">
              <w:rPr>
                <w:rFonts w:ascii="Times New Roman" w:eastAsia="Calibri" w:hAnsi="Times New Roman" w:cs="Times New Roman"/>
                <w:color w:val="000000"/>
                <w:sz w:val="16"/>
                <w:szCs w:val="16"/>
                <w:lang w:eastAsia="pt-BR"/>
              </w:rPr>
              <w:t>Liberia</w:t>
            </w:r>
            <w:proofErr w:type="spellEnd"/>
            <w:r w:rsidRPr="009F01A3">
              <w:rPr>
                <w:rFonts w:ascii="Times New Roman" w:eastAsia="Calibri" w:hAnsi="Times New Roman" w:cs="Times New Roman"/>
                <w:color w:val="000000"/>
                <w:sz w:val="16"/>
                <w:szCs w:val="16"/>
                <w:lang w:eastAsia="pt-BR"/>
              </w:rPr>
              <w:t xml:space="preserve">; Burundi; </w:t>
            </w:r>
            <w:proofErr w:type="spellStart"/>
            <w:r w:rsidRPr="009F01A3">
              <w:rPr>
                <w:rFonts w:ascii="Times New Roman" w:eastAsia="Calibri" w:hAnsi="Times New Roman" w:cs="Times New Roman"/>
                <w:color w:val="000000"/>
                <w:sz w:val="16"/>
                <w:szCs w:val="16"/>
                <w:lang w:eastAsia="pt-BR"/>
              </w:rPr>
              <w:t>Tanzania</w:t>
            </w:r>
            <w:proofErr w:type="spellEnd"/>
            <w:r w:rsidRPr="009F01A3">
              <w:rPr>
                <w:rFonts w:ascii="Times New Roman" w:eastAsia="Calibri" w:hAnsi="Times New Roman" w:cs="Times New Roman"/>
                <w:color w:val="000000"/>
                <w:sz w:val="16"/>
                <w:szCs w:val="16"/>
                <w:lang w:eastAsia="pt-BR"/>
              </w:rPr>
              <w:t xml:space="preserve">; </w:t>
            </w:r>
            <w:proofErr w:type="spellStart"/>
            <w:r w:rsidRPr="009F01A3">
              <w:rPr>
                <w:rFonts w:ascii="Times New Roman" w:eastAsia="Calibri" w:hAnsi="Times New Roman" w:cs="Times New Roman"/>
                <w:color w:val="000000"/>
                <w:sz w:val="16"/>
                <w:szCs w:val="16"/>
                <w:lang w:eastAsia="pt-BR"/>
              </w:rPr>
              <w:t>Sierra</w:t>
            </w:r>
            <w:proofErr w:type="spellEnd"/>
            <w:r w:rsidRPr="009F01A3">
              <w:rPr>
                <w:rFonts w:ascii="Times New Roman" w:eastAsia="Calibri" w:hAnsi="Times New Roman" w:cs="Times New Roman"/>
                <w:color w:val="000000"/>
                <w:sz w:val="16"/>
                <w:szCs w:val="16"/>
                <w:lang w:eastAsia="pt-BR"/>
              </w:rPr>
              <w:t xml:space="preserve"> Leone; </w:t>
            </w:r>
            <w:proofErr w:type="spellStart"/>
            <w:r w:rsidRPr="009F01A3">
              <w:rPr>
                <w:rFonts w:ascii="Times New Roman" w:eastAsia="Calibri" w:hAnsi="Times New Roman" w:cs="Times New Roman"/>
                <w:color w:val="000000"/>
                <w:sz w:val="16"/>
                <w:szCs w:val="16"/>
                <w:lang w:eastAsia="pt-BR"/>
              </w:rPr>
              <w:t>Burma</w:t>
            </w:r>
            <w:proofErr w:type="spellEnd"/>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2006</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2007</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1,004</w:t>
            </w:r>
          </w:p>
        </w:tc>
        <w:tc>
          <w:tcPr>
            <w:tcW w:w="303"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51.2</w:t>
            </w:r>
          </w:p>
        </w:tc>
        <w:tc>
          <w:tcPr>
            <w:tcW w:w="304" w:type="pct"/>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202"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26.29</w:t>
            </w:r>
          </w:p>
        </w:tc>
      </w:tr>
      <w:tr w:rsidR="009C09C1" w:rsidRPr="009F01A3" w:rsidTr="009C09C1">
        <w:tc>
          <w:tcPr>
            <w:tcW w:w="415"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 xml:space="preserve">Tiong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2ik4libu34","properties":{"formattedCitation":"(76)","plainCitation":"(76)","noteIndex":0},"citationItems":[{"id":"mvNZPZfg/sXZy5PeB","uris":["http://zotero.org/users/local/lLjYRh4M/items/E6IVZKQ7"],"uri":["http://zotero.org/users/local/lLjYRh4M/items/E6IVZKQ7"],"itemData":{"id":95,"type":"article-journal","title":"Health issues in newly arrived African refugees attending general practice clinics in Melbourne","container-title":"Med J Aust","page":"602-6","volume":"185","issue":"11-12","source":"NLM","archive_location":"17181501","abstract":"OBJECTIVE: To identify the most common health issues diagnosed by general practitioners in newly arrived African refugees. DESIGN: Descriptive study based on a purposive sample of six GPs to collate data from medical records of patients from African countries who had attended their clinics for the first time between 1 January and 30 June 2005. SETTING: Two community health centres and two private general practices in metropolitan Melbourne. PARTICIPANTS: African refugee patients who arrived in Australia after 1 June 2004 and were seen by the six participating GPs between 1 January and 30 June 2005. MAIN OUTCOME MEASURES: Demographic characteristics, laboratory test results and final diagnoses. RESULTS: Data were collected from 258 patient files. Most patients were from Sudan (57%) or Liberia (17%). Half were aged under 15 years. The most common health problems identified were inadequate vaccinations, nutritional deficiencies (vitamin D and iron), infectious diseases (gastrointestinal infections, schistosomiasis, and latent tuberculosis) and dental disease. Musculoskeletal, psychological and social problems were common in adults. 37% of patients were tested for latent tuberculosis, and 25% of these tested positive. CONCLUSIONS: African refugees require comprehensive health assessments for undiagnosed and untreated health problems. While most of the common diseases identified are non-communicable, if left untreated they will affect the long-term health and productivity of new settlers.","ISSN":"0025-729X (Print) 0025-729x","shortTitle":"Health issues in newly arrived African refugees attending general practice clinics in Melbourne","journalAbbreviation":"The Medical journal of Australia","language":"eng","author":[{"family":"Tiong","given":"A. C."},{"family":"Patel","given":"M. S."},{"family":"Gardiner","given":"J."},{"family":"Ryan","given":"R."},{"family":"Linton","given":"K. S."},{"family":"Walker","given":"K. A."},{"family":"Scopel","given":"J."},{"family":"Biggs","given":"B. A."}],"issued":{"date-parts":[["2006",12,4]]}}}],"schema":"https://github.com/citation-style-language/schema/raw/master/csl-citation.json"}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(76)</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2006</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Australia</w:t>
            </w:r>
          </w:p>
        </w:tc>
        <w:tc>
          <w:tcPr>
            <w:tcW w:w="354" w:type="pct"/>
            <w:vAlign w:val="center"/>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Western Africa; Central Africa; Eastern Africa; Africa</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2004</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2005</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Both</w:t>
            </w:r>
          </w:p>
        </w:tc>
        <w:tc>
          <w:tcPr>
            <w:tcW w:w="303" w:type="pct"/>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96</w:t>
            </w:r>
          </w:p>
        </w:tc>
        <w:tc>
          <w:tcPr>
            <w:tcW w:w="303"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55.8</w:t>
            </w:r>
          </w:p>
        </w:tc>
        <w:tc>
          <w:tcPr>
            <w:tcW w:w="304" w:type="pct"/>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25.00</w:t>
            </w:r>
          </w:p>
        </w:tc>
      </w:tr>
      <w:tr w:rsidR="009C09C1" w:rsidRPr="009F01A3" w:rsidTr="009C09C1">
        <w:tc>
          <w:tcPr>
            <w:tcW w:w="415"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Gray</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2f3pnf9g4v","properties":{"formattedCitation":"(74)","plainCitation":"(74)","noteIndex":0},"citationItems":[{"id":"mvNZPZfg/6nM9UtTp","uris":["http://zotero.org/users/local/lLjYRh4M/items/GKLERFKA"],"uri":["http://zotero.org/users/local/lLjYRh4M/items/GKLERFKA"],"itemData":{"id":28,"type":"article-journal","title":"Vitamin d and tuberculosis status in refugee children","container-title":"Pediatr Infect Dis J","page":"521-3","volume":"31","issue":"5","source":"NLM","archive_location":"22189532","abstract":"Vitamin D deficiency and tuberculosis (TB) are associated in adults, but data in children are scarce. We screened refugee children routinely for vitamin D status and TB. Vitamin D values were significantly lower in latent TB (n = 81) and TB infection (n = 11) than in children without TB (n = 236). We conclude that refugee children with TB have reduced vitamin D levels.","DOI":"10.1097/INF.0b013e3182456c55","ISSN":"0891-3668","shortTitle":"Vitamin d and tuberculosis status in refugee children","journalAbbreviation":"The Pediatric infectious disease journal","language":"eng","author":[{"family":"Gray","given":"K."},{"family":"Wood","given":"N."},{"family":"Gunasekera","given":"H."},{"family":"Sheikh","given":"M."},{"family":"Hazelton","given":"B."},{"family":"Barzi","given":"F."},{"family":"Isaacs","given":"D."}],"issued":{"date-parts":[["2012",5]]}}}],"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(74)</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2012</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Australia</w:t>
            </w:r>
          </w:p>
        </w:tc>
        <w:tc>
          <w:tcPr>
            <w:tcW w:w="354" w:type="pct"/>
            <w:vAlign w:val="center"/>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Middle East; Africa; Asia; Australia</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2005</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2010</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328</w:t>
            </w:r>
          </w:p>
        </w:tc>
        <w:tc>
          <w:tcPr>
            <w:tcW w:w="303"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45.7</w:t>
            </w:r>
          </w:p>
        </w:tc>
        <w:tc>
          <w:tcPr>
            <w:tcW w:w="304" w:type="pct"/>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24.70</w:t>
            </w:r>
          </w:p>
        </w:tc>
      </w:tr>
      <w:tr w:rsidR="009C09C1" w:rsidRPr="009F01A3" w:rsidTr="009C09C1">
        <w:tc>
          <w:tcPr>
            <w:tcW w:w="415" w:type="pct"/>
          </w:tcPr>
          <w:p w:rsidR="009C09C1" w:rsidRPr="009F01A3" w:rsidRDefault="009C09C1" w:rsidP="009C09C1">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sz w:val="16"/>
                <w:szCs w:val="16"/>
                <w:lang w:val="en-US" w:eastAsia="pt-BR"/>
              </w:rPr>
              <w:t>Sarivalasis</w:t>
            </w:r>
            <w:proofErr w:type="spellEnd"/>
            <w:r w:rsidRPr="009F01A3">
              <w:rPr>
                <w:rFonts w:ascii="Times New Roman" w:eastAsia="Times New Roman" w:hAnsi="Times New Roman" w:cs="Times New Roman"/>
                <w:sz w:val="16"/>
                <w:szCs w:val="16"/>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2kfvne0qiq","properties":{"formattedCitation":"(80)","plainCitation":"(80)","noteIndex":0},"citationItems":[{"id":"mvNZPZfg/bXh0g97F","uris":["http://zotero.org/users/local/lLjYRh4M/items/V3LDIRPC"],"uri":["http://zotero.org/users/local/lLjYRh4M/items/V3LDIRPC"],"itemData":{"id":84,"type":"article-journal","title":"Factors associated with latent tuberculosis among asylum seekers in Switzerland: a cross-sectional study in Vaud County","container-title":"BMC Infect Dis","page":"285","volume":"12","source":"NLM","archive_location":"23121680","abstract":"BACKGROUND: Screening and treatment of latent tuberculosis infection (LTBI) in asylum seekers (AS) may prevent future cases of tuberculosis. As the screening with Interferon Gamma Release Assay (IGRA) is costly, the objective of this study was to assess which factors were associated with LTBI and to define a score allowing the selection of AS with the highest risk of LTBI. METHODS: In across-sectional study, AS seekers recently arrived in Vaud County, after screening for tuberculosis at the border were offered screening for LTBI with T-SPOT.TB and questionnaire on potentially risk factors. The factors associated with LTBI were analyzed by univariate and multivariate regression. RESULTS: Among 393 adult AS, 98 (24.93%) had a positive IGRA response, five of them with active tuberculosis previously undetected. Six factors associated with LTBI were identified in multivariate analysis: origin, travel conditions, marital status, cough, age and prior TB exposure. Their combination leads to a robust LTBI predictive score. CONCLUSIONS: The prevalence of LTBI and active tuberculosis in AS is high. A predictive score integrating six factors could identify the asylum seekers with the highest risk for LTBI.","DOI":"10.1186/1471-2334-12-285","ISSN":"1471-2334","shortTitle":"Factors associated with latent tuberculosis among asylum seekers in Switzerland: a cross-sectional study in Vaud County","journalAbbreviation":"BMC infectious diseases","language":"eng","author":[{"family":"Sarivalasis","given":"A."},{"family":"Zellweger","given":"J. P."},{"family":"Faouzi","given":"M."},{"family":"Daher","given":"O."},{"family":"Deslarzes","given":"C."},{"family":"Bodenmann","given":"P."}],"issued":{"date-parts":[["2012"]]}}}],"schema":"https://github.com/citation-style-language/schema/raw/master/csl-citation.json"}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(80)</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2012</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Switzerland</w:t>
            </w:r>
          </w:p>
        </w:tc>
        <w:tc>
          <w:tcPr>
            <w:tcW w:w="354" w:type="pct"/>
            <w:vAlign w:val="center"/>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Asylum Seeker</w:t>
            </w:r>
          </w:p>
        </w:tc>
        <w:tc>
          <w:tcPr>
            <w:tcW w:w="556"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Balkan Peninsula; Soviet Union; Asia; Africa</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2009</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2010</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393</w:t>
            </w:r>
          </w:p>
        </w:tc>
        <w:tc>
          <w:tcPr>
            <w:tcW w:w="303"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27.2</w:t>
            </w:r>
          </w:p>
        </w:tc>
        <w:tc>
          <w:tcPr>
            <w:tcW w:w="304" w:type="pct"/>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IGRA</w:t>
            </w:r>
          </w:p>
        </w:tc>
        <w:tc>
          <w:tcPr>
            <w:tcW w:w="252"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NA</w:t>
            </w:r>
          </w:p>
        </w:tc>
        <w:tc>
          <w:tcPr>
            <w:tcW w:w="202"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23.66</w:t>
            </w:r>
          </w:p>
        </w:tc>
      </w:tr>
      <w:tr w:rsidR="009C09C1" w:rsidRPr="009F01A3" w:rsidTr="009C09C1">
        <w:tc>
          <w:tcPr>
            <w:tcW w:w="415"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Sheikh</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edtflg61k","properties":{"formattedCitation":"(78)","plainCitation":"(78)","noteIndex":0},"citationItems":[{"id":"mvNZPZfg/IPuF69zS","uris":["http://zotero.org/users/local/lLjYRh4M/items/YCTGG4I7"],"uri":["http://zotero.org/users/local/lLjYRh4M/items/YCTGG4I7"],"itemData":{"id":88,"type":"article-journal","title":"The epidemiology of health conditions of newly arrived refugee children: A review of patients attending a specialist health clinic in Sydney","container-title":"Journal of Paediatrics and Child Health","page":"509-513","volume":"45","issue":"9","abstract":"Aim: To determine the prevalence of common diseases in newly arrived refugee children, resettled in Sydney, by region of birth. To identify health needs of refugee children in Australia. Methods: We prospectively screened for common diseases in refugee children attending a specialist paediatric refugee clinic, the Children's Hospital, Westmead, between May 2005 and December 2006. Screening tests included full blood count, Mantoux, vitamin D level, hepatitis B serology, syphilis serology, Schistosomiasis serology and malarial antigens. Results: There were 239 patients, the majority (75%) from Africa, with 127 girls and 112 boys. Thirty-six percent were 0-7 years old, 45% were 8-12 years old and 19% were 13-17 years old. Of those tested, 16% had Schistosomiasis, 5% had malaria and 4% were hepatitis B carriers. Of 216 children who had Mantoux tests, 33% were &gt;10 mm and 24% were &gt;15 mm, including four children with active disease (2 lymphadenitis, 1 pulmonary and 1 gastric). Vitamin D deficiency was the most common diagnosis: 61% had serum 25(OH)D3 &lt;50 nmol/L. Anaemia was present in 15%. Disease prevalence was higher in children from Africa than Asia or the Middle East, and most of the children were asymptomatic. Given that we have only seen about 10% of the refugee children resettled in New South Wales, our results may not be generalisable to all refugees. Conclusion: Our findings suggest that screening refugee children for common treatable conditions, even if they are asymptomatic, is paramount. In addition to infectious diseases screening, nutritional deficiencies should routinely be screened for. © 2009 Paediatrics and Child Health Division (Royal Australasian College of Physicians).","ISSN":"1034-4810","shortTitle":"The epidemiology of health conditions of newly arrived refugee children: A review of patients attending a specialist health clinic in Sydney","author":[{"family":"Sheikh","given":"M."},{"family":"Pal","given":"A."},{"family":"Wang","given":"S."},{"family":"MacIntyre","given":"C. R."},{"family":"Wood","given":"N. J."},{"family":"Isaacs","given":"D."},{"family":"Gunasekera","given":"H."},{"family":"Raman","given":"S."},{"family":"Hale","given":"K."},{"family":"Howell","given":"A."}],"issued":{"date-parts":[["2009"]]}}}],"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(78)</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2009</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Australia</w:t>
            </w:r>
          </w:p>
        </w:tc>
        <w:tc>
          <w:tcPr>
            <w:tcW w:w="354" w:type="pct"/>
            <w:vAlign w:val="center"/>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Asia; Middle East; Western Africa; Central Africa; Eastern Africa</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2005</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2006</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219</w:t>
            </w:r>
          </w:p>
        </w:tc>
        <w:tc>
          <w:tcPr>
            <w:tcW w:w="303"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53.1</w:t>
            </w:r>
          </w:p>
        </w:tc>
        <w:tc>
          <w:tcPr>
            <w:tcW w:w="304" w:type="pct"/>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23.29</w:t>
            </w:r>
          </w:p>
        </w:tc>
      </w:tr>
      <w:tr w:rsidR="009C09C1" w:rsidRPr="009F01A3" w:rsidTr="009C09C1">
        <w:tc>
          <w:tcPr>
            <w:tcW w:w="415"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Bennett</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11v6j18rnr","properties":{"formattedCitation":"(100)","plainCitation":"(100)","noteIndex":0},"citationItems":[{"id":"mvNZPZfg/cSydTd9H","uris":["http://zotero.org/users/local/lLjYRh4M/items/8E5M44EK"],"uri":["http://zotero.org/users/local/lLjYRh4M/items/8E5M44EK"],"itemData":{"id":8,"type":"article-journal","title":"Prevalence and treatment of latent tuberculosis infection among newly arrived refugees in San Diego County, January 2010-October 2012","container-title":"Am J Public Health","page":"e95-e102","volume":"104","issue":"4","source":"NLM","archive_location":"24524534","abstract":"OBJECTIVES: We determined the prevalence and treatment rates of latent tuberculosis infection (LTBI) in newly arrived refugees in San Diego County, California, and assessed demographic and clinical characteristics associated with these outcomes. METHODS: We analyzed data from LTBI screening results of 4280 refugees resettled in San Diego County between January 2010 and October 2012. Using multivariate logistic regression, we calculated the associations between demographic and clinical risk factors and the outcomes of LTBI diagnosis and LTBI treatment initiation. RESULTS: The prevalence of LTBI was highest among refugees from sub-Saharan Africa (43%) and was associated with current smoking and having a clinical comorbidity that increases the risk for active tuberculosis. Although refugees from sub-Saharan Africa had the highest prevalence of infection, they were significantly less likely to initiate treatment than refugees from the Middle East. Refugees with postsecondary education were significantly more likely to initiate LTBI treatment. CONCLUSIONS: Public health strategies are needed to increase treatment rates among high-risk refugees with LTBI. Particular attention is required among refugees from sub-Saharan Africa and those with less education.","DOI":"10.2105/ajph.2013.301637","ISSN":"0090-0036","shortTitle":"Prevalence and treatment of latent tuberculosis infection among newly arrived refugees in San Diego County, January 2010-October 2012","journalAbbreviation":"American journal of public health","language":"eng","author":[{"family":"Bennett","given":"R. J."},{"family":"Brodine","given":"S."},{"family":"Waalen","given":"J."},{"family":"Moser","given":"K."},{"family":"Rodwell","given":"T. C."}],"issued":{"date-parts":[["2014",4]]}}}],"schema":"https://github.com/citation-style-language/schema/raw/master/csl-citation.json"}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(100)</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2014</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vAlign w:val="center"/>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Middle East, Asia; Sub-Saharan Africa</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2010</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2012</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4,280</w:t>
            </w:r>
          </w:p>
        </w:tc>
        <w:tc>
          <w:tcPr>
            <w:tcW w:w="303"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49.7</w:t>
            </w:r>
          </w:p>
        </w:tc>
        <w:tc>
          <w:tcPr>
            <w:tcW w:w="304" w:type="pct"/>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23.4</w:t>
            </w:r>
          </w:p>
        </w:tc>
        <w:tc>
          <w:tcPr>
            <w:tcW w:w="303"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15.8</w:t>
            </w:r>
          </w:p>
        </w:tc>
        <w:tc>
          <w:tcPr>
            <w:tcW w:w="291"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21.40</w:t>
            </w:r>
          </w:p>
        </w:tc>
      </w:tr>
      <w:tr w:rsidR="009C09C1" w:rsidRPr="009F01A3" w:rsidTr="009C09C1">
        <w:tc>
          <w:tcPr>
            <w:tcW w:w="415"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Paxton</w:t>
            </w:r>
            <w:r w:rsidRPr="009F01A3">
              <w:rPr>
                <w:rFonts w:ascii="Times New Roman" w:eastAsia="Times New Roman" w:hAnsi="Times New Roman" w:cs="Times New Roman"/>
                <w:color w:val="000000"/>
                <w:sz w:val="16"/>
                <w:szCs w:val="16"/>
                <w:vertAlign w:val="superscript"/>
                <w:lang w:val="en-US" w:eastAsia="pt-BR"/>
              </w:rPr>
              <w:t xml:space="preserve"> </w:t>
            </w:r>
            <w:r w:rsidRPr="009F01A3">
              <w:rPr>
                <w:rFonts w:ascii="Times New Roman" w:eastAsia="Times New Roman" w:hAnsi="Times New Roman" w:cs="Times New Roman"/>
                <w:color w:val="000000"/>
                <w:sz w:val="16"/>
                <w:szCs w:val="16"/>
                <w:vertAlign w:val="superscript"/>
                <w:lang w:val="en-US" w:eastAsia="pt-BR"/>
              </w:rPr>
              <w:fldChar w:fldCharType="begin"/>
            </w:r>
            <w:r w:rsidRPr="009F01A3">
              <w:rPr>
                <w:rFonts w:ascii="Times New Roman" w:eastAsia="Times New Roman" w:hAnsi="Times New Roman" w:cs="Times New Roman"/>
                <w:color w:val="000000"/>
                <w:sz w:val="16"/>
                <w:szCs w:val="16"/>
                <w:vertAlign w:val="superscript"/>
                <w:lang w:val="en-US" w:eastAsia="pt-BR"/>
              </w:rPr>
              <w:instrText xml:space="preserve"> ADDIN ZOTERO_ITEM CSL_CITATION {"citationID":"a1jakl36c04","properties":{"formattedCitation":"(92)","plainCitation":"(92)","noteIndex":0},"citationItems":[{"id":"mvNZPZfg/1GucoQnz","uris":["http://zotero.org/users/local/lLjYRh4M/items/7CETCBNY"],"uri":["http://zotero.org/users/local/lLjYRh4M/items/7CETCBNY"],"itemData":{"id":154,"type":"article-journal","title":"Post-Arrival Health Screening in Karen Refugees in Australia","container-title":"PLOS ONE","page":"e38194","volume":"7","issue":"5","abstract":"Objective To document the prevalence of nutritional deficiencies, infectious diseases and susceptibility to vaccine preventable diseases in Karen refugees in Australia. Design Retrospective audit of pathology results. Setting Community based cohort in Melbourne over the period July 2006–October 2009. Participants 1136 Karen refugee children and adults, representing almost complete local area settlement and 48% of total Victorian Karen humanitarian intake for the time period. Main Outcome Measures Prevalence of positive test results for refugee health screening, with breakdown by age group (&lt;6 years, 6–11 years, 12–17 years, 18 years and older). Results Overall prevalence figures were: anaemia 9.2%, microcytosis 19.1%, iron deficiency 13.1%, low vitamin B12 1.5%, low folate 1.5%, abnormal thyroid function tests 4.4%, vitamin D&lt;50 nmol/L 33.3%, hypocalcaemia 7.4%, raised alkaline phosphatase 5.2%, abnormal liver transaminases 16.1%, hepatitis B surface antigen positive 9.7%, hepatitis B surface antibody positive 49.5%, isolated hepatitis B core antibody positive 9.0%, hepatitis C positive 1.9%, eosinophilia 14.4%, Schistosoma infection 7%, Strongyloides infection 20.8%, malaria 0.2%, faecal parasites 43.4%. Quantiferon-gold screening was positive in 20.9%. No cases of syphilis or HIV were identified. Serological immunity to vaccine preventable diseases was 87.1% for measles, 95% for mumps and 66.4% for rubella; 56.9% of those tested had seroimmunity to all three. Conclusions Karen refugees have high rates of nutritional deficiencies and infectious diseases and may be susceptible to vaccine preventable diseases. These data support the need for post-arrival health screening and accessible, funded catch-up immunisation.","DOI":"10.1371/journal.pone.0038194","journalAbbreviation":"PLOS ONE","author":[{"family":"Paxton","given":"Georgia A."},{"family":"Sangster","given":"Katrina J."},{"family":"Maxwell","given":"Ellen L."},{"family":"McBride","given":"Catherine R. J."},{"family":"Drewe","given":"Ross H."}],"issued":{"date-parts":[["2012",5,31]]}}}],"schema":"https://github.com/citation-style-language/schema/raw/master/csl-citation.json"} </w:instrText>
            </w:r>
            <w:r w:rsidRPr="009F01A3">
              <w:rPr>
                <w:rFonts w:ascii="Times New Roman" w:eastAsia="Times New Roman" w:hAnsi="Times New Roman" w:cs="Times New Roman"/>
                <w:color w:val="000000"/>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(92)</w:t>
            </w:r>
            <w:r w:rsidRPr="009F01A3">
              <w:rPr>
                <w:rFonts w:ascii="Times New Roman" w:eastAsia="Times New Roman" w:hAnsi="Times New Roman" w:cs="Times New Roman"/>
                <w:color w:val="000000"/>
                <w:sz w:val="16"/>
                <w:szCs w:val="16"/>
                <w:vertAlign w:val="superscript"/>
                <w:lang w:val="en-US" w:eastAsia="pt-BR"/>
              </w:rPr>
              <w:fldChar w:fldCharType="end"/>
            </w:r>
          </w:p>
        </w:tc>
        <w:tc>
          <w:tcPr>
            <w:tcW w:w="35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2012</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Australia</w:t>
            </w:r>
          </w:p>
        </w:tc>
        <w:tc>
          <w:tcPr>
            <w:tcW w:w="354" w:type="pct"/>
            <w:vAlign w:val="center"/>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Refugee</w:t>
            </w:r>
          </w:p>
        </w:tc>
        <w:tc>
          <w:tcPr>
            <w:tcW w:w="556" w:type="pct"/>
          </w:tcPr>
          <w:p w:rsidR="009C09C1" w:rsidRPr="009F01A3" w:rsidRDefault="009C09C1" w:rsidP="009C09C1">
            <w:pPr>
              <w:rPr>
                <w:rFonts w:ascii="Times New Roman" w:eastAsia="Calibri" w:hAnsi="Times New Roman" w:cs="Times New Roman"/>
                <w:color w:val="000000"/>
                <w:sz w:val="16"/>
                <w:szCs w:val="16"/>
                <w:lang w:val="en-US" w:eastAsia="pt-BR"/>
              </w:rPr>
            </w:pPr>
            <w:r w:rsidRPr="009F01A3">
              <w:rPr>
                <w:rFonts w:ascii="Times New Roman" w:eastAsia="Calibri" w:hAnsi="Times New Roman" w:cs="Times New Roman"/>
                <w:color w:val="000000"/>
                <w:sz w:val="16"/>
                <w:szCs w:val="16"/>
                <w:lang w:val="en-US" w:eastAsia="pt-BR"/>
              </w:rPr>
              <w:t>NI</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2006</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2009</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810</w:t>
            </w:r>
          </w:p>
        </w:tc>
        <w:tc>
          <w:tcPr>
            <w:tcW w:w="303"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49.0</w:t>
            </w:r>
          </w:p>
        </w:tc>
        <w:tc>
          <w:tcPr>
            <w:tcW w:w="304" w:type="pct"/>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IGRA</w:t>
            </w:r>
          </w:p>
        </w:tc>
        <w:tc>
          <w:tcPr>
            <w:tcW w:w="252"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eastAsia="Calibri" w:hAnsi="Times New Roman" w:cs="Times New Roman"/>
                <w:sz w:val="16"/>
                <w:szCs w:val="16"/>
                <w:lang w:val="en-US"/>
              </w:rPr>
              <w:t>NA</w:t>
            </w:r>
          </w:p>
        </w:tc>
        <w:tc>
          <w:tcPr>
            <w:tcW w:w="202"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20.86</w:t>
            </w:r>
          </w:p>
        </w:tc>
      </w:tr>
      <w:tr w:rsidR="009C09C1" w:rsidRPr="009F01A3" w:rsidTr="009C09C1">
        <w:tc>
          <w:tcPr>
            <w:tcW w:w="415"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Lucas</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22uu1p4eu1","properties":{"formattedCitation":"(101)","plainCitation":"(101)","noteIndex":0},"citationItems":[{"id":"mvNZPZfg/fy4SR0nC","uris":["http://zotero.org/users/local/lLjYRh4M/items/LLDB4RTE"],"uri":["http://zotero.org/users/local/lLjYRh4M/items/LLDB4RTE"],"itemData":{"id":60,"type":"article-journal","title":"A prospective large-scale study of methods for the detection of latent Mycobacterium tuberculosis infection in refugee children","container-title":"Thorax","page":"442-8","volume":"65","issue":"5","source":"NLM","archive_location":"20435869","abstract":"BACKGROUND Diagnosis of latent tuberculosis infection (LTBI) is a cornerstone of the health assessment of resettled high incidence populations, particularly in children. Two blood-based interferon gamma release assays (IGRAs), T-SPOT.TB and QFT-Gold in-tube (QFT-GIT), have greater sensitivity and specificity than the tuberculin skin test (TST), but their performance as screening tools for LTBI in children, especially refugee children, remains unclear. METHODS 524 African and ethnic Burmese children, including 107 under 3 years of age, were prospectively enrolled in a comparison of the T-SPOT.TB and QFT-GIT. The TST was also performed in 342 of the children. RESULTS The T-SPOT.TB and QFT-GIT had similar rates of positivity (8% and 10%, respectively) and showed good concordance when both tests gave definitive results (kappa=0.78; p&lt;0.0001). However, the IGRAs had significant failure rates: 15% of QFT-GIT gave indeterminate results due to failed mitogen response and 14% of T-SPOT.TB results were inconclusive, largely because of insufficient mononuclear leucocyte yields. Failure of the QFT-GIT mitogen response was associated with African ethnicity and co-morbid infections, particularly with helminths. The TST results showed poor concordance ( approximately 50%) with both IGRAs. CONCLUSIONS It is reasonable to screen using either IGRA with follow-up by the alternative if the test fails. In general, the QFT-GIT is the preferred option for non-African populations but the T-SPOT.TB is recommended when there are epidemiological and/or clinical high risk factors for TB infection. However, both IGRAs have methodological and performance characteristics that limit their usefulness in refugee children, highlighting the need for continued development of screening strategies.","DOI":"10.1136/thx.2009.127555","ISSN":"0040-6376","shortTitle":"A prospective large-scale study of methods for the detection of latent Mycobacterium tuberculosis infection in refugee children","journalAbbreviation":"Thorax","language":"eng","author":[{"family":"Lucas","given":"M."},{"family":"Nicol","given":"P."},{"family":"McKinnon","given":"E."},{"family":"Whidborne","given":"R."},{"family":"Lucas","given":"A."},{"family":"Thambiran","given":"A."},{"family":"Burgner","given":"D."},{"family":"Waring","given":"J."},{"family":"French","given":"M."}],"issued":{"date-parts":[["2010",5]]}}}],"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(101)</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2010</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Australia</w:t>
            </w:r>
          </w:p>
        </w:tc>
        <w:tc>
          <w:tcPr>
            <w:tcW w:w="354" w:type="pct"/>
            <w:vAlign w:val="center"/>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Africa; Asia</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2007</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2008</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Calibri" w:hAnsi="Times New Roman" w:cs="Times New Roman"/>
                <w:sz w:val="16"/>
                <w:szCs w:val="16"/>
                <w:lang w:val="en-US" w:eastAsia="pt-BR"/>
              </w:rPr>
              <w:t>524</w:t>
            </w:r>
          </w:p>
        </w:tc>
        <w:tc>
          <w:tcPr>
            <w:tcW w:w="303"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51.9</w:t>
            </w:r>
          </w:p>
        </w:tc>
        <w:tc>
          <w:tcPr>
            <w:tcW w:w="304" w:type="pct"/>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18.32</w:t>
            </w:r>
          </w:p>
        </w:tc>
      </w:tr>
      <w:tr w:rsidR="009C09C1" w:rsidRPr="009F01A3" w:rsidTr="009C09C1">
        <w:tc>
          <w:tcPr>
            <w:tcW w:w="415"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Johnston</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94lmhjnpn","properties":{"formattedCitation":"(83)","plainCitation":"(83)","noteIndex":0},"citationItems":[{"id":"mvNZPZfg/FvZhUf73","uris":["http://zotero.org/users/local/lLjYRh4M/items/GY9WX47U"],"uri":["http://zotero.org/users/local/lLjYRh4M/items/GY9WX47U"],"itemData":{"id":42,"type":"article-journal","title":"The health of newly arrived refugees to the Top End of Australia: results of a clinical audit at the Darwin Refugee Health Service","container-title":"Aust J Prim Health","page":"242-7","volume":"18","issue":"3","source":"NLM","archive_location":"23069368","abstract":"Accurate data on the health of refugees in primary care is vital to inform clinical practice, monitor disease prevalence, influence policy and promote coordination. We undertook a retrospective clinical audit of newly arrived refugees attending the Darwin refugee primary health service in its first 12 months of operation. Data were collected from the clinic files of refugee patients who attended for their initial health assessment from 1 July 2009 to 30 June 2010 and were analysed descriptively. Among 187 refugees who attended in 2009-2010, ~60% were from Asia and 42% were female. The most common diagnoses confirmed by testing were vitamin D deficiency (23%), hepatitis B carrier status (22%), tuberculosis infection (18%), schistosomiasis (17%) and anaemia (17%). The most common documented health conditions recorded by the GPs were vitamin D deficiency or insufficiency (66%), followed by schistosomiasis (24%) and dental disease (23%). This clinical audit adds to a limited evidence base suggesting a high prevalence of infectious disease, nutrient deficiency and dental disease among refugees arriving to Australia. GPs involved in the care of refugees must be aware of the epidemiology of disease in this group, as some diseases are rare among the general Australian population. Our results also highlight the ongoing need for advocacy to address service constraints such as limited public dental access for this population.","DOI":"10.1071/py11065","ISSN":"1448-7527 (Print) 1448-7527","shortTitle":"The health of newly arrived refugees to the Top End of Australia: results of a clinical audit at the Darwin Refugee Health Service","journalAbbreviation":"Australian journal of primary health","language":"eng","author":[{"family":"Johnston","given":"V."},{"family":"Smith","given":"L."},{"family":"Roydhouse","given":"H."}],"issued":{"date-parts":[["2012"]]}}}],"schema":"https://github.com/citation-style-language/schema/raw/master/csl-citation.json"}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(83)</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2012</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Australia</w:t>
            </w:r>
          </w:p>
        </w:tc>
        <w:tc>
          <w:tcPr>
            <w:tcW w:w="354" w:type="pct"/>
            <w:vAlign w:val="center"/>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Asia; Africa</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2009</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2010</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176</w:t>
            </w:r>
          </w:p>
        </w:tc>
        <w:tc>
          <w:tcPr>
            <w:tcW w:w="303"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41.7</w:t>
            </w:r>
          </w:p>
        </w:tc>
        <w:tc>
          <w:tcPr>
            <w:tcW w:w="304" w:type="pct"/>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18.18</w:t>
            </w:r>
          </w:p>
        </w:tc>
      </w:tr>
      <w:tr w:rsidR="009C09C1" w:rsidRPr="009F01A3" w:rsidTr="009C09C1">
        <w:tc>
          <w:tcPr>
            <w:tcW w:w="415"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 xml:space="preserve">Ramos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2optcm7gn9","properties":{"formattedCitation":"(58)","plainCitation":"(58)","noteIndex":0},"citationItems":[{"id":"mvNZPZfg/57HxJRBB","uris":["http://zotero.org/users/local/lLjYRh4M/items/G2HHVXL6"],"uri":["http://zotero.org/users/local/lLjYRh4M/items/G2HHVXL6"],"itemData":{"id":4,"type":"article-journal","title":"Health of resettled Iraqi refugees --- San Diego County, California, October 2007-September 2009","container-title":"MMWR Morb Mortal Wkly Rep","page":"1614-8","volume":"59","issue":"49","source":"NLM","archive_location":"21160458","abstract":"In recent years, Iraqi refugees have been resettling in the United States in large numbers, with approximately 28,000 arrivals during October 2007-September 2009 (federal fiscal years [FYs] 2008 and 2009). All refugees undergo a required medical examination before departure to the United States to prevent importation of communicable diseases, including active tuberculosis (TB), as prescribed by CDC Technical Instructions. CDC also recommends that refugees receive a more comprehensive medical assessment after arrival, which typically occurs within the first 90 days of arrival. To describe the health profile of resettled Iraqi refugees, post-arrival medical assessment data were reviewed for 5,100 Iraqi refugees who underwent full or partial assessments at the San Diego County refugee health clinic during FYs 2008 and 2009. Among 4,923 screened refugees aged &gt;1 year, 692 (14.1%) had latent tuberculosis infection (LTBI); among 3,047 screened adult refugees aged &gt;18 years, 751 (24.6%) were classified as obese; and among 2,704 screened adult refugees, 410 (15.2%) were hypertensive. Although infectious illness has been the traditional focus of refugee medical screening, a high prevalence of chronic, noninfectious conditions that could lead to serious morbidity was observed among Iraqi refugees. Public health agencies should be aware of the potentially diverse health profiles of resettling refugee groups. Medical assessment of arriving refugee populations, with timely collection and review of health data, enables early detection, treatment, and follow-up of conditions, and can help public health agencies develop and set priorities for population-specific health interventions and guidelines.","ISSN":"0149-2195","shortTitle":"Health of resettled Iraqi refugees --- San Diego County, California, October 2007-September 2009","journalAbbreviation":"MMWR. Morbidity and mortality weekly report","language":"eng","issued":{"date-parts":[["2010",12,17]]}}}],"schema":"https://github.com/citation-style-language/schema/raw/master/csl-citation.json"}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(58)</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2010</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vAlign w:val="center"/>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Iraq</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2007</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2009</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4,923</w:t>
            </w:r>
          </w:p>
        </w:tc>
        <w:tc>
          <w:tcPr>
            <w:tcW w:w="303"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48.5</w:t>
            </w:r>
          </w:p>
        </w:tc>
        <w:tc>
          <w:tcPr>
            <w:tcW w:w="304" w:type="pct"/>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202"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14.06</w:t>
            </w:r>
          </w:p>
        </w:tc>
      </w:tr>
      <w:tr w:rsidR="009C09C1" w:rsidRPr="009F01A3" w:rsidTr="009C09C1">
        <w:tc>
          <w:tcPr>
            <w:tcW w:w="415"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 xml:space="preserve">Bennet </w:t>
            </w:r>
            <w:r w:rsidRPr="009F01A3">
              <w:rPr>
                <w:rFonts w:ascii="Times New Roman" w:eastAsia="Times New Roman" w:hAnsi="Times New Roman" w:cs="Times New Roman"/>
                <w:color w:val="000000"/>
                <w:sz w:val="16"/>
                <w:szCs w:val="16"/>
                <w:vertAlign w:val="superscript"/>
                <w:lang w:val="en-US" w:eastAsia="pt-BR"/>
              </w:rPr>
              <w:fldChar w:fldCharType="begin"/>
            </w:r>
            <w:r w:rsidRPr="009F01A3">
              <w:rPr>
                <w:rFonts w:ascii="Times New Roman" w:eastAsia="Times New Roman" w:hAnsi="Times New Roman" w:cs="Times New Roman"/>
                <w:color w:val="000000"/>
                <w:sz w:val="16"/>
                <w:szCs w:val="16"/>
                <w:vertAlign w:val="superscript"/>
                <w:lang w:val="en-US" w:eastAsia="pt-BR"/>
              </w:rPr>
              <w:instrText xml:space="preserve"> ADDIN ZOTERO_ITEM CSL_CITATION {"citationID":"ar5ge9t2hm","properties":{"formattedCitation":"(48)","plainCitation":"(48)","noteIndex":0},"citationItems":[{"id":"mvNZPZfg/YsbemxMZ","uris":["http://zotero.org/users/local/lLjYRh4M/items/8T8KYPYY"],"uri":["http://zotero.org/users/local/lLjYRh4M/items/8T8KYPYY"],"itemData":{"id":129,"type":"article-journal","title":"Tuberculosis infection and disease in the 2015 cohort of unaccompanied minors seeking asylum in Northern Stockholm, Sweden","container-title":"Infect Dis (Lond)","page":"501-506","volume":"49","issue":"7","source":"Nlm","archive_location":"28276801","abstract":"BACKGROUND: Minors with a stated age &lt;18 years unaccompanied by a responsible adult form an increasing part of refugees to Europe. They are older than other asylum-seeking children and many come from countries with a high tuberculosis (TB) incidence. During the 2015 refugee crisis, 35,369 of 162,877 refugees (22%) seeking asylum in Sweden were unaccompanied minors, which gave us the opportunity to study their burden of TB infection and disease. METHODS: Of the unaccompanied minors seeking asylum in Sweden during 2015, 2936 (8.3%) were allocated to northern Stockholm. Of these, 2422 were from countries with an incidence of TB exceeding 100/105, and were screened for TB infection with a Mantoux tuberculin skin test or a QuantiFERON-TB Gold(R). Those from countries with a lower TB incidence were screened only if they had other risk factors for TB exposure. RESULTS: Of those screened, 349 had a positive test and were referred to the northern paediatric TB clinic at Astrid Lindgren Children's Hospital. Of these, 16 had TB disease and 278 latent tuberculosis infection (LTBI), while we considered 53 uninfected. In addition, eight sought medical attention with symptomatic TB outside the screening system. Cohort rates were 6.8% of LTBI and 0.5% of TB in minors from Afghanistan and 26-32% of LTBI and 3.4-3.5% of TB among those from Eritrea, Ethiopia or Somalia. CONCLUSION: We conclude that TB infection and disease is common among asylum-seeking unaccompanied minors, especially among those from the Horn of Africa.","DOI":"10.1080/23744235.2017.1292540","ISSN":"2374-4243","shortTitle":"Tuberculosis infection and disease in the 2015 cohort of unaccompanied minors seeking asylum in Northern Stockholm, Sweden","journalAbbreviation":"Infectious diseases (London, England)","language":"eng","author":[{"family":"Bennet","given":"R."},{"family":"Eriksson","given":"M."}],"issued":{"date-parts":[["2017",7]]}}}],"schema":"https://github.com/citation-style-language/schema/raw/master/csl-citation.json"} </w:instrText>
            </w:r>
            <w:r w:rsidRPr="009F01A3">
              <w:rPr>
                <w:rFonts w:ascii="Times New Roman" w:eastAsia="Times New Roman" w:hAnsi="Times New Roman" w:cs="Times New Roman"/>
                <w:color w:val="000000"/>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(48)</w:t>
            </w:r>
            <w:r w:rsidRPr="009F01A3">
              <w:rPr>
                <w:rFonts w:ascii="Times New Roman" w:eastAsia="Times New Roman" w:hAnsi="Times New Roman" w:cs="Times New Roman"/>
                <w:color w:val="000000"/>
                <w:sz w:val="16"/>
                <w:szCs w:val="16"/>
                <w:vertAlign w:val="superscript"/>
                <w:lang w:val="en-US" w:eastAsia="pt-BR"/>
              </w:rPr>
              <w:fldChar w:fldCharType="end"/>
            </w:r>
          </w:p>
        </w:tc>
        <w:tc>
          <w:tcPr>
            <w:tcW w:w="35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2017</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Sweden</w:t>
            </w:r>
          </w:p>
        </w:tc>
        <w:tc>
          <w:tcPr>
            <w:tcW w:w="354" w:type="pct"/>
            <w:vAlign w:val="center"/>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Asylum Seeker</w:t>
            </w:r>
          </w:p>
        </w:tc>
        <w:tc>
          <w:tcPr>
            <w:tcW w:w="556" w:type="pct"/>
          </w:tcPr>
          <w:p w:rsidR="009C09C1" w:rsidRPr="009F01A3" w:rsidRDefault="009C09C1" w:rsidP="009C09C1">
            <w:pPr>
              <w:rPr>
                <w:rFonts w:ascii="Times New Roman" w:eastAsia="Calibri" w:hAnsi="Times New Roman" w:cs="Times New Roman"/>
                <w:color w:val="000000"/>
                <w:sz w:val="16"/>
                <w:szCs w:val="16"/>
                <w:lang w:val="en-US" w:eastAsia="pt-BR"/>
              </w:rPr>
            </w:pPr>
            <w:r w:rsidRPr="009F01A3">
              <w:rPr>
                <w:rFonts w:ascii="Times New Roman" w:eastAsia="Calibri" w:hAnsi="Times New Roman" w:cs="Times New Roman"/>
                <w:color w:val="000000"/>
                <w:sz w:val="16"/>
                <w:szCs w:val="16"/>
                <w:lang w:val="en-US" w:eastAsia="pt-BR"/>
              </w:rPr>
              <w:t>Afghanistan; Somalia; Eritrea; Ethiopia</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2015</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2016</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2,936</w:t>
            </w:r>
          </w:p>
        </w:tc>
        <w:tc>
          <w:tcPr>
            <w:tcW w:w="303"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NI</w:t>
            </w:r>
          </w:p>
        </w:tc>
        <w:tc>
          <w:tcPr>
            <w:tcW w:w="304" w:type="pct"/>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eastAsia="Calibri" w:hAnsi="Times New Roman" w:cs="Times New Roman"/>
                <w:sz w:val="16"/>
                <w:szCs w:val="16"/>
                <w:lang w:val="en-US"/>
              </w:rPr>
              <w:t>10</w:t>
            </w:r>
          </w:p>
        </w:tc>
        <w:tc>
          <w:tcPr>
            <w:tcW w:w="202"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eastAsia="Calibri" w:hAnsi="Times New Roman" w:cs="Times New Roman"/>
                <w:sz w:val="16"/>
                <w:szCs w:val="16"/>
                <w:lang w:val="en-US"/>
              </w:rPr>
              <w:t>NI</w:t>
            </w:r>
          </w:p>
        </w:tc>
        <w:tc>
          <w:tcPr>
            <w:tcW w:w="303"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eastAsia="Calibri" w:hAnsi="Times New Roman" w:cs="Times New Roman"/>
                <w:sz w:val="16"/>
                <w:szCs w:val="16"/>
                <w:lang w:val="en-US"/>
              </w:rPr>
              <w:t>NI</w:t>
            </w:r>
          </w:p>
        </w:tc>
        <w:tc>
          <w:tcPr>
            <w:tcW w:w="291" w:type="pct"/>
          </w:tcPr>
          <w:p w:rsidR="009C09C1" w:rsidRPr="009F01A3" w:rsidRDefault="009C09C1" w:rsidP="009C09C1">
            <w:pPr>
              <w:jc w:val="center"/>
              <w:rPr>
                <w:rFonts w:ascii="Times New Roman" w:eastAsia="Calibri" w:hAnsi="Times New Roman" w:cs="Times New Roman"/>
                <w:sz w:val="16"/>
                <w:szCs w:val="16"/>
                <w:lang w:val="en-US"/>
              </w:rPr>
            </w:pPr>
            <w:r w:rsidRPr="009F01A3">
              <w:rPr>
                <w:rFonts w:ascii="Times New Roman" w:eastAsia="Calibri" w:hAnsi="Times New Roman" w:cs="Times New Roman"/>
                <w:sz w:val="16"/>
                <w:szCs w:val="16"/>
                <w:lang w:val="en-US"/>
              </w:rPr>
              <w:t>11.34</w:t>
            </w:r>
          </w:p>
        </w:tc>
      </w:tr>
      <w:tr w:rsidR="009C09C1" w:rsidRPr="009F01A3" w:rsidTr="009C09C1">
        <w:tc>
          <w:tcPr>
            <w:tcW w:w="415" w:type="pct"/>
          </w:tcPr>
          <w:p w:rsidR="009C09C1" w:rsidRPr="009F01A3" w:rsidRDefault="009C09C1" w:rsidP="009C09C1">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sz w:val="16"/>
                <w:szCs w:val="16"/>
                <w:lang w:val="en-US" w:eastAsia="pt-BR"/>
              </w:rPr>
              <w:t>Mockenhaupt</w:t>
            </w:r>
            <w:proofErr w:type="spellEnd"/>
            <w:r w:rsidRPr="009F01A3">
              <w:rPr>
                <w:rFonts w:ascii="Times New Roman" w:eastAsia="Times New Roman" w:hAnsi="Times New Roman" w:cs="Times New Roman"/>
                <w:sz w:val="16"/>
                <w:szCs w:val="16"/>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l6rld8pkf","properties":{"formattedCitation":"(71)","plainCitation":"(71)","noteIndex":0},"citationItems":[{"id":"mvNZPZfg/SKrdzKX6","uris":["http://zotero.org/users/local/lLjYRh4M/items/XKD75PVU"],"uri":["http://zotero.org/users/local/lLjYRh4M/items/XKD75PVU"],"itemData":{"id":64,"type":"article-journal","title":"Profile of illness in Syrian refugees: A GeoSentinel analysis, 2013 to 2015","container-title":"Euro Surveill","volume":"21","issue":"10","source":"NLM","archive_location":"26987893","abstract":"Screening of 488 Syrian unaccompanied minor refugees (&lt;18 years-old) in Berlin showed low prevalence of intestinal parasites (Giardia, 7%), positive schistosomiasis serology (1.4%) and absence of hepatitis B. Among 44 ill adult Syrian refugees examined at GeoSentinel clinics worldwide, cutaneous leishmaniasis affected one in three patients; other noteworthy infections were active tuberculosis (11%) and chronic hepatitis B or C (9%). These data can contribute to evidence-based guidelines for infectious disease screening of Syrian refugees.","DOI":"10.2807/1560-7917.es.2016.21.10.30160","ISSN":"1025-496x","shortTitle":"Profile of illness in Syrian refugees: A GeoSentinel analysis, 2013 to 2015","journalAbbreviation":"Euro surveillance : bulletin Europeen sur les maladies transmissibles = European communicable disease bulletin","language":"eng","author":[{"family":"Mockenhaupt","given":"F. P."},{"family":"Barbre","given":"K. A."},{"family":"Jensenius","given":"M."},{"family":"Larsen","given":"C. S."},{"family":"Barnett","given":"E. D."},{"family":"Stauffer","given":"W."},{"family":"Rothe","given":"C."},{"family":"Asgeirsson","given":"H."},{"family":"Hamer","given":"D. H."},{"family":"Esposito","given":"D. H."},{"family":"Gautret","given":"P."},{"family":"Schlagenhauf","given":"P."}],"issued":{"date-parts":[["2016"]]}}}],"schema":"https://github.com/citation-style-language/schema/raw/master/csl-citation.json"}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(71)</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2016</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Germany</w:t>
            </w:r>
          </w:p>
        </w:tc>
        <w:tc>
          <w:tcPr>
            <w:tcW w:w="354" w:type="pct"/>
            <w:vAlign w:val="center"/>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Syria</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2011</w:t>
            </w:r>
          </w:p>
        </w:tc>
        <w:tc>
          <w:tcPr>
            <w:tcW w:w="202" w:type="pct"/>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2015</w:t>
            </w:r>
          </w:p>
        </w:tc>
        <w:tc>
          <w:tcPr>
            <w:tcW w:w="303" w:type="pct"/>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44</w:t>
            </w:r>
          </w:p>
        </w:tc>
        <w:tc>
          <w:tcPr>
            <w:tcW w:w="303"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34.1</w:t>
            </w:r>
          </w:p>
        </w:tc>
        <w:tc>
          <w:tcPr>
            <w:tcW w:w="304" w:type="pct"/>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252" w:type="pct"/>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202"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9.09</w:t>
            </w:r>
          </w:p>
        </w:tc>
      </w:tr>
      <w:tr w:rsidR="009C09C1" w:rsidRPr="009F01A3" w:rsidTr="009C09C1">
        <w:tc>
          <w:tcPr>
            <w:tcW w:w="415" w:type="pct"/>
            <w:tcBorders>
              <w:bottom w:val="single" w:sz="4" w:space="0" w:color="auto"/>
            </w:tcBorders>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 xml:space="preserve">Liu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11ucrv4c3b","properties":{"formattedCitation":"(87)","plainCitation":"(87)","noteIndex":0},"citationItems":[{"id":"mvNZPZfg/Y9A8z9Jj","uris":["http://zotero.org/users/local/lLjYRh4M/items/HFTHIWNW"],"uri":["http://zotero.org/users/local/lLjYRh4M/items/HFTHIWNW"],"itemData":{"id":50,"type":"article-journal","title":"Effect of a culture-based screening algorithm on tuberculosis incidence in immigrants and refugees bound for the United States: a population-based cross-sectional study","container-title":"Ann Intern Med","page":"420-8","volume":"162","issue":"6","source":"NLM","archive_location":"25775314","abstract":"BACKGROUND: Before 2007, immigrants and refugees bound for the United States were screened for tuberculosis (TB) by a smear-based algorithm that could not diagnose smear-negative/culture-positive TB. In 2007, the Centers for Disease Control and Prevention implemented a culture-based algorithm. OBJECTIVE: To evaluate the effect of the culture-based algorithm on preventing the importation of TB to the United States by immigrants and refugees from foreign countries. DESIGN: Population-based, cross-sectional study. SETTING: Panel physician sites for overseas medical examination. PATIENTS: Immigrants and refugees with TB. MEASUREMENTS: Comparison of the increase of smear-negative/culture-positive TB cases diagnosed overseas among immigrants and refugees by the culture-based algorithm with the decline of reported cases among foreign-born persons within 1 year after arrival in the United States from 2007 to 2012. RESULTS: Of the 3 212 421 arrivals of immigrants and refugees from 2007 to 2012, a total of 1 650 961 (51.4%) were screened by the smear-based algorithm and 1 561 460 (48.6%) were screened by the culture-based algorithm. Among the 4032 TB cases diagnosed by the culture-based algorithm, 2195 (54.4%) were smear-negative/culture-positive. Before implementation (2002 to 2006), the annual number of reported cases among foreign-born persons within 1 year after arrival was relatively constant (range, 1424 to 1626 cases; mean, 1504 cases) but decreased from 1511 to 940 cases during implementation (2007 to 2012). During the same period, the annual number of smear-negative/culture-positive TB cases diagnosed overseas among immigrants and refugees bound for the United States by the culture-based algorithm increased from 4 to 629. LIMITATION: This analysis did not control for the decline in new arrivals of nonimmigrant visitors to the United States and the decrease of incidence of TB in their countries of origin. CONCLUSION: Implementation of the culture-based algorithm may have substantially reduced the incidence of TB among newly arrived, foreign-born persons in the United States. PRIMARY FUNDING SOURCE: None.","DOI":"10.7326/m14-2082","ISSN":"0003-4819","shortTitle":"Effect of a culture-based screening algorithm on tuberculosis incidence in immigrants and refugees bound for the United States: a population-based cross-sectional study","journalAbbreviation":"Annals of internal medicine","language":"eng","author":[{"family":"Liu","given":"Y."},{"family":"Posey","given":"D. L."},{"family":"Cetron","given":"M. S."},{"family":"Painter","given":"J. A."}],"issued":{"date-parts":[["2015",3,17]]}}}],"schema":"https://github.com/citation-style-language/schema/raw/master/csl-citation.json"}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(87)</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Borders>
              <w:bottom w:val="single" w:sz="4" w:space="0" w:color="auto"/>
            </w:tcBorders>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2015</w:t>
            </w:r>
          </w:p>
        </w:tc>
        <w:tc>
          <w:tcPr>
            <w:tcW w:w="303" w:type="pct"/>
            <w:tcBorders>
              <w:bottom w:val="single" w:sz="4" w:space="0" w:color="auto"/>
            </w:tcBorders>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tcBorders>
              <w:bottom w:val="single" w:sz="4" w:space="0" w:color="auto"/>
            </w:tcBorders>
            <w:vAlign w:val="center"/>
          </w:tcPr>
          <w:p w:rsidR="009C09C1" w:rsidRPr="009F01A3" w:rsidRDefault="009C09C1" w:rsidP="009C09C1">
            <w:pPr>
              <w:jc w:val="center"/>
              <w:rPr>
                <w:rFonts w:ascii="Times New Roman" w:eastAsia="Calibri"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Borders>
              <w:bottom w:val="single" w:sz="4" w:space="0" w:color="auto"/>
            </w:tcBorders>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NI</w:t>
            </w:r>
          </w:p>
        </w:tc>
        <w:tc>
          <w:tcPr>
            <w:tcW w:w="202" w:type="pct"/>
            <w:tcBorders>
              <w:bottom w:val="single" w:sz="4" w:space="0" w:color="auto"/>
            </w:tcBorders>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2007</w:t>
            </w:r>
          </w:p>
        </w:tc>
        <w:tc>
          <w:tcPr>
            <w:tcW w:w="202" w:type="pct"/>
            <w:tcBorders>
              <w:bottom w:val="single" w:sz="4" w:space="0" w:color="auto"/>
            </w:tcBorders>
          </w:tcPr>
          <w:p w:rsidR="009C09C1" w:rsidRPr="009F01A3" w:rsidRDefault="009C09C1" w:rsidP="009C09C1">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2012</w:t>
            </w:r>
          </w:p>
        </w:tc>
        <w:tc>
          <w:tcPr>
            <w:tcW w:w="303" w:type="pct"/>
            <w:tcBorders>
              <w:bottom w:val="single" w:sz="4" w:space="0" w:color="auto"/>
            </w:tcBorders>
          </w:tcPr>
          <w:p w:rsidR="009C09C1" w:rsidRPr="009F01A3" w:rsidRDefault="009C09C1" w:rsidP="009C09C1">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Borders>
              <w:bottom w:val="single" w:sz="4" w:space="0" w:color="auto"/>
            </w:tcBorders>
          </w:tcPr>
          <w:p w:rsidR="009C09C1" w:rsidRPr="009F01A3" w:rsidRDefault="009C09C1" w:rsidP="009C09C1">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57,019</w:t>
            </w:r>
          </w:p>
        </w:tc>
        <w:tc>
          <w:tcPr>
            <w:tcW w:w="303" w:type="pct"/>
            <w:tcBorders>
              <w:bottom w:val="single" w:sz="4" w:space="0" w:color="auto"/>
            </w:tcBorders>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eastAsia="Calibri" w:hAnsi="Times New Roman" w:cs="Times New Roman"/>
                <w:sz w:val="16"/>
                <w:szCs w:val="16"/>
                <w:lang w:val="en-US"/>
              </w:rPr>
              <w:t>NI</w:t>
            </w:r>
          </w:p>
        </w:tc>
        <w:tc>
          <w:tcPr>
            <w:tcW w:w="304" w:type="pct"/>
            <w:tcBorders>
              <w:bottom w:val="single" w:sz="4" w:space="0" w:color="auto"/>
            </w:tcBorders>
          </w:tcPr>
          <w:p w:rsidR="009C09C1" w:rsidRPr="009F01A3" w:rsidRDefault="009C09C1" w:rsidP="009C09C1">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Borders>
              <w:bottom w:val="single" w:sz="4" w:space="0" w:color="auto"/>
            </w:tcBorders>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Borders>
              <w:bottom w:val="single" w:sz="4" w:space="0" w:color="auto"/>
            </w:tcBorders>
          </w:tcPr>
          <w:p w:rsidR="009C09C1" w:rsidRPr="009F01A3" w:rsidRDefault="009C09C1" w:rsidP="009C09C1">
            <w:pPr>
              <w:jc w:val="center"/>
              <w:rPr>
                <w:rFonts w:ascii="Times New Roman" w:hAnsi="Times New Roman" w:cs="Times New Roman"/>
                <w:sz w:val="16"/>
                <w:szCs w:val="16"/>
                <w:lang w:val="en-US"/>
              </w:rPr>
            </w:pPr>
            <w:r w:rsidRPr="009F01A3">
              <w:rPr>
                <w:rFonts w:ascii="Times New Roman" w:eastAsia="Calibri" w:hAnsi="Times New Roman" w:cs="Times New Roman"/>
                <w:sz w:val="16"/>
                <w:szCs w:val="16"/>
                <w:lang w:val="en-US"/>
              </w:rPr>
              <w:t>10</w:t>
            </w:r>
          </w:p>
        </w:tc>
        <w:tc>
          <w:tcPr>
            <w:tcW w:w="202" w:type="pct"/>
            <w:tcBorders>
              <w:bottom w:val="single" w:sz="4" w:space="0" w:color="auto"/>
            </w:tcBorders>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Borders>
              <w:bottom w:val="single" w:sz="4" w:space="0" w:color="auto"/>
            </w:tcBorders>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Borders>
              <w:bottom w:val="single" w:sz="4" w:space="0" w:color="auto"/>
            </w:tcBorders>
          </w:tcPr>
          <w:p w:rsidR="009C09C1" w:rsidRPr="009F01A3" w:rsidRDefault="009C09C1" w:rsidP="009C09C1">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7.93</w:t>
            </w:r>
          </w:p>
        </w:tc>
      </w:tr>
      <w:tr w:rsidR="001917F3" w:rsidRPr="009F01A3" w:rsidTr="001917F3">
        <w:tc>
          <w:tcPr>
            <w:tcW w:w="415" w:type="pct"/>
            <w:vMerge w:val="restart"/>
            <w:tcBorders>
              <w:top w:val="single" w:sz="4" w:space="0" w:color="auto"/>
            </w:tcBorders>
            <w:vAlign w:val="center"/>
          </w:tcPr>
          <w:p w:rsidR="001917F3" w:rsidRPr="009F01A3" w:rsidRDefault="001917F3" w:rsidP="001917F3">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First Author</w:t>
            </w:r>
          </w:p>
        </w:tc>
        <w:tc>
          <w:tcPr>
            <w:tcW w:w="353" w:type="pct"/>
            <w:vMerge w:val="restart"/>
            <w:tcBorders>
              <w:top w:val="single" w:sz="4" w:space="0" w:color="auto"/>
            </w:tcBorders>
            <w:vAlign w:val="center"/>
          </w:tcPr>
          <w:p w:rsidR="001917F3" w:rsidRPr="009F01A3" w:rsidRDefault="001917F3" w:rsidP="001917F3">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Year of publication</w:t>
            </w:r>
          </w:p>
        </w:tc>
        <w:tc>
          <w:tcPr>
            <w:tcW w:w="303" w:type="pct"/>
            <w:vMerge w:val="restart"/>
            <w:tcBorders>
              <w:top w:val="single" w:sz="4" w:space="0" w:color="auto"/>
            </w:tcBorders>
            <w:vAlign w:val="center"/>
          </w:tcPr>
          <w:p w:rsidR="001917F3" w:rsidRPr="009F01A3" w:rsidRDefault="001917F3" w:rsidP="001917F3">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Country of study</w:t>
            </w:r>
          </w:p>
        </w:tc>
        <w:tc>
          <w:tcPr>
            <w:tcW w:w="354" w:type="pct"/>
            <w:vMerge w:val="restart"/>
            <w:tcBorders>
              <w:top w:val="single" w:sz="4" w:space="0" w:color="auto"/>
            </w:tcBorders>
            <w:vAlign w:val="center"/>
          </w:tcPr>
          <w:p w:rsidR="001917F3" w:rsidRPr="009F01A3" w:rsidRDefault="001917F3" w:rsidP="001917F3">
            <w:pPr>
              <w:contextualSpacing/>
              <w:jc w:val="center"/>
              <w:rPr>
                <w:rFonts w:ascii="Times New Roman" w:eastAsia="Times New Roman" w:hAnsi="Times New Roman" w:cs="Times New Roman"/>
                <w:b/>
                <w:bCs/>
                <w:color w:val="000000"/>
                <w:sz w:val="16"/>
                <w:szCs w:val="16"/>
                <w:lang w:val="en-US" w:eastAsia="pt-BR"/>
              </w:rPr>
            </w:pPr>
            <w:r w:rsidRPr="009F01A3">
              <w:rPr>
                <w:rFonts w:ascii="Times New Roman" w:hAnsi="Times New Roman" w:cs="Times New Roman"/>
                <w:b/>
                <w:bCs/>
                <w:sz w:val="16"/>
                <w:szCs w:val="16"/>
                <w:lang w:val="en-US"/>
              </w:rPr>
              <w:t>Population</w:t>
            </w:r>
          </w:p>
        </w:tc>
        <w:tc>
          <w:tcPr>
            <w:tcW w:w="556" w:type="pct"/>
            <w:vMerge w:val="restart"/>
            <w:tcBorders>
              <w:top w:val="single" w:sz="4" w:space="0" w:color="auto"/>
            </w:tcBorders>
            <w:vAlign w:val="center"/>
          </w:tcPr>
          <w:p w:rsidR="001917F3" w:rsidRPr="009F01A3" w:rsidRDefault="001917F3" w:rsidP="001917F3">
            <w:pPr>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color w:val="000000"/>
                <w:sz w:val="16"/>
                <w:szCs w:val="16"/>
                <w:lang w:val="en-US" w:eastAsia="pt-BR"/>
              </w:rPr>
              <w:t>Country / Region of origin</w:t>
            </w:r>
          </w:p>
        </w:tc>
        <w:tc>
          <w:tcPr>
            <w:tcW w:w="404" w:type="pct"/>
            <w:gridSpan w:val="2"/>
            <w:tcBorders>
              <w:top w:val="single" w:sz="4" w:space="0" w:color="auto"/>
            </w:tcBorders>
            <w:vAlign w:val="center"/>
          </w:tcPr>
          <w:p w:rsidR="001917F3" w:rsidRPr="009F01A3" w:rsidRDefault="001917F3" w:rsidP="001917F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Period of data collection</w:t>
            </w:r>
          </w:p>
        </w:tc>
        <w:tc>
          <w:tcPr>
            <w:tcW w:w="303" w:type="pct"/>
            <w:vMerge w:val="restart"/>
            <w:tcBorders>
              <w:top w:val="single" w:sz="4" w:space="0" w:color="auto"/>
            </w:tcBorders>
            <w:vAlign w:val="center"/>
          </w:tcPr>
          <w:p w:rsidR="001917F3" w:rsidRPr="009F01A3" w:rsidRDefault="001917F3" w:rsidP="001917F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color w:val="000000"/>
                <w:sz w:val="16"/>
                <w:szCs w:val="16"/>
                <w:lang w:val="en-US" w:eastAsia="pt-BR"/>
              </w:rPr>
              <w:t>Setting</w:t>
            </w:r>
          </w:p>
        </w:tc>
        <w:tc>
          <w:tcPr>
            <w:tcW w:w="303" w:type="pct"/>
            <w:vMerge w:val="restart"/>
            <w:tcBorders>
              <w:top w:val="single" w:sz="4" w:space="0" w:color="auto"/>
            </w:tcBorders>
            <w:vAlign w:val="center"/>
          </w:tcPr>
          <w:p w:rsidR="001917F3" w:rsidRPr="009F01A3" w:rsidRDefault="001917F3" w:rsidP="001917F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Sample*</w:t>
            </w:r>
          </w:p>
          <w:p w:rsidR="001917F3" w:rsidRPr="009F01A3" w:rsidRDefault="001917F3" w:rsidP="001917F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(n)</w:t>
            </w:r>
          </w:p>
        </w:tc>
        <w:tc>
          <w:tcPr>
            <w:tcW w:w="303" w:type="pct"/>
            <w:vMerge w:val="restart"/>
            <w:tcBorders>
              <w:top w:val="single" w:sz="4" w:space="0" w:color="auto"/>
            </w:tcBorders>
            <w:vAlign w:val="center"/>
          </w:tcPr>
          <w:p w:rsidR="001917F3" w:rsidRPr="009F01A3" w:rsidRDefault="001917F3" w:rsidP="001917F3">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Women</w:t>
            </w:r>
          </w:p>
          <w:p w:rsidR="001917F3" w:rsidRPr="009F01A3" w:rsidRDefault="001917F3" w:rsidP="001917F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w:t>
            </w:r>
          </w:p>
        </w:tc>
        <w:tc>
          <w:tcPr>
            <w:tcW w:w="304" w:type="pct"/>
            <w:vMerge w:val="restart"/>
            <w:tcBorders>
              <w:top w:val="single" w:sz="4" w:space="0" w:color="auto"/>
            </w:tcBorders>
            <w:vAlign w:val="center"/>
          </w:tcPr>
          <w:p w:rsidR="001917F3" w:rsidRPr="009F01A3" w:rsidRDefault="001917F3" w:rsidP="001917F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Study design</w:t>
            </w:r>
          </w:p>
        </w:tc>
        <w:tc>
          <w:tcPr>
            <w:tcW w:w="354" w:type="pct"/>
            <w:vMerge w:val="restart"/>
            <w:tcBorders>
              <w:top w:val="single" w:sz="4" w:space="0" w:color="auto"/>
            </w:tcBorders>
            <w:vAlign w:val="center"/>
          </w:tcPr>
          <w:p w:rsidR="001917F3" w:rsidRPr="009F01A3" w:rsidRDefault="001917F3" w:rsidP="001917F3">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Diagnostic test*</w:t>
            </w:r>
          </w:p>
        </w:tc>
        <w:tc>
          <w:tcPr>
            <w:tcW w:w="252" w:type="pct"/>
            <w:vMerge w:val="restart"/>
            <w:tcBorders>
              <w:top w:val="single" w:sz="4" w:space="0" w:color="auto"/>
            </w:tcBorders>
            <w:vAlign w:val="center"/>
          </w:tcPr>
          <w:p w:rsidR="001917F3" w:rsidRPr="009F01A3" w:rsidRDefault="001917F3" w:rsidP="001917F3">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TST cutoff point (mm)</w:t>
            </w:r>
          </w:p>
        </w:tc>
        <w:tc>
          <w:tcPr>
            <w:tcW w:w="796" w:type="pct"/>
            <w:gridSpan w:val="3"/>
            <w:tcBorders>
              <w:top w:val="single" w:sz="4" w:space="0" w:color="auto"/>
            </w:tcBorders>
            <w:vAlign w:val="center"/>
          </w:tcPr>
          <w:p w:rsidR="001917F3" w:rsidRPr="009F01A3" w:rsidRDefault="001917F3" w:rsidP="001917F3">
            <w:pPr>
              <w:autoSpaceDE w:val="0"/>
              <w:autoSpaceDN w:val="0"/>
              <w:adjustRightInd w:val="0"/>
              <w:contextualSpacing/>
              <w:jc w:val="center"/>
              <w:rPr>
                <w:rFonts w:ascii="Times New Roman" w:hAnsi="Times New Roman" w:cs="Times New Roman"/>
                <w:b/>
                <w:bCs/>
                <w:sz w:val="16"/>
                <w:szCs w:val="16"/>
                <w:lang w:val="en-US"/>
              </w:rPr>
            </w:pPr>
            <w:r w:rsidRPr="009F01A3">
              <w:rPr>
                <w:rFonts w:ascii="Times New Roman" w:hAnsi="Times New Roman" w:cs="Times New Roman"/>
                <w:b/>
                <w:bCs/>
                <w:sz w:val="16"/>
                <w:szCs w:val="16"/>
                <w:lang w:val="en-US"/>
              </w:rPr>
              <w:t>Prevalence</w:t>
            </w:r>
          </w:p>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b/>
                <w:bCs/>
                <w:sz w:val="16"/>
                <w:szCs w:val="16"/>
                <w:lang w:val="en-US"/>
              </w:rPr>
              <w:t>(%)</w:t>
            </w:r>
          </w:p>
        </w:tc>
      </w:tr>
      <w:tr w:rsidR="001917F3" w:rsidRPr="009F01A3" w:rsidTr="001917F3">
        <w:tc>
          <w:tcPr>
            <w:tcW w:w="415" w:type="pct"/>
            <w:vMerge/>
            <w:vAlign w:val="center"/>
          </w:tcPr>
          <w:p w:rsidR="001917F3" w:rsidRPr="009F01A3" w:rsidRDefault="001917F3" w:rsidP="001917F3">
            <w:pPr>
              <w:contextualSpacing/>
              <w:jc w:val="center"/>
              <w:rPr>
                <w:rFonts w:ascii="Times New Roman" w:eastAsia="Times New Roman" w:hAnsi="Times New Roman" w:cs="Times New Roman"/>
                <w:b/>
                <w:bCs/>
                <w:sz w:val="16"/>
                <w:szCs w:val="16"/>
                <w:lang w:val="en-US" w:eastAsia="pt-BR"/>
              </w:rPr>
            </w:pPr>
          </w:p>
        </w:tc>
        <w:tc>
          <w:tcPr>
            <w:tcW w:w="353" w:type="pct"/>
            <w:vMerge/>
            <w:vAlign w:val="center"/>
          </w:tcPr>
          <w:p w:rsidR="001917F3" w:rsidRPr="009F01A3" w:rsidRDefault="001917F3" w:rsidP="001917F3">
            <w:pPr>
              <w:contextualSpacing/>
              <w:jc w:val="center"/>
              <w:rPr>
                <w:rFonts w:ascii="Times New Roman" w:eastAsia="Times New Roman" w:hAnsi="Times New Roman" w:cs="Times New Roman"/>
                <w:b/>
                <w:bCs/>
                <w:sz w:val="16"/>
                <w:szCs w:val="16"/>
                <w:lang w:val="en-US" w:eastAsia="pt-BR"/>
              </w:rPr>
            </w:pPr>
          </w:p>
        </w:tc>
        <w:tc>
          <w:tcPr>
            <w:tcW w:w="303" w:type="pct"/>
            <w:vMerge/>
            <w:vAlign w:val="center"/>
          </w:tcPr>
          <w:p w:rsidR="001917F3" w:rsidRPr="009F01A3" w:rsidRDefault="001917F3" w:rsidP="001917F3">
            <w:pPr>
              <w:contextualSpacing/>
              <w:jc w:val="center"/>
              <w:rPr>
                <w:rFonts w:ascii="Times New Roman" w:eastAsia="Times New Roman" w:hAnsi="Times New Roman" w:cs="Times New Roman"/>
                <w:b/>
                <w:bCs/>
                <w:sz w:val="16"/>
                <w:szCs w:val="16"/>
                <w:lang w:val="en-US" w:eastAsia="pt-BR"/>
              </w:rPr>
            </w:pPr>
          </w:p>
        </w:tc>
        <w:tc>
          <w:tcPr>
            <w:tcW w:w="354" w:type="pct"/>
            <w:vMerge/>
            <w:vAlign w:val="center"/>
          </w:tcPr>
          <w:p w:rsidR="001917F3" w:rsidRPr="009F01A3" w:rsidRDefault="001917F3" w:rsidP="001917F3">
            <w:pPr>
              <w:contextualSpacing/>
              <w:jc w:val="center"/>
              <w:rPr>
                <w:rFonts w:ascii="Times New Roman" w:hAnsi="Times New Roman" w:cs="Times New Roman"/>
                <w:b/>
                <w:bCs/>
                <w:sz w:val="16"/>
                <w:szCs w:val="16"/>
                <w:lang w:val="en-US"/>
              </w:rPr>
            </w:pPr>
          </w:p>
        </w:tc>
        <w:tc>
          <w:tcPr>
            <w:tcW w:w="556" w:type="pct"/>
            <w:vMerge/>
            <w:vAlign w:val="center"/>
          </w:tcPr>
          <w:p w:rsidR="001917F3" w:rsidRPr="009F01A3" w:rsidRDefault="001917F3" w:rsidP="001917F3">
            <w:pPr>
              <w:contextualSpacing/>
              <w:jc w:val="center"/>
              <w:rPr>
                <w:rFonts w:ascii="Times New Roman" w:eastAsia="Times New Roman" w:hAnsi="Times New Roman" w:cs="Times New Roman"/>
                <w:b/>
                <w:bCs/>
                <w:color w:val="000000"/>
                <w:sz w:val="16"/>
                <w:szCs w:val="16"/>
                <w:lang w:val="en-US" w:eastAsia="pt-BR"/>
              </w:rPr>
            </w:pPr>
          </w:p>
        </w:tc>
        <w:tc>
          <w:tcPr>
            <w:tcW w:w="202" w:type="pct"/>
            <w:vAlign w:val="center"/>
          </w:tcPr>
          <w:p w:rsidR="001917F3" w:rsidRPr="009F01A3" w:rsidRDefault="001917F3" w:rsidP="001917F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Start</w:t>
            </w:r>
          </w:p>
        </w:tc>
        <w:tc>
          <w:tcPr>
            <w:tcW w:w="202" w:type="pct"/>
            <w:vAlign w:val="center"/>
          </w:tcPr>
          <w:p w:rsidR="001917F3" w:rsidRPr="009F01A3" w:rsidRDefault="001917F3" w:rsidP="001917F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eastAsia="Times New Roman" w:hAnsi="Times New Roman" w:cs="Times New Roman"/>
                <w:b/>
                <w:bCs/>
                <w:sz w:val="16"/>
                <w:szCs w:val="16"/>
                <w:lang w:val="en-US" w:eastAsia="pt-BR"/>
              </w:rPr>
              <w:t>End</w:t>
            </w:r>
          </w:p>
        </w:tc>
        <w:tc>
          <w:tcPr>
            <w:tcW w:w="303" w:type="pct"/>
            <w:vMerge/>
            <w:vAlign w:val="center"/>
          </w:tcPr>
          <w:p w:rsidR="001917F3" w:rsidRPr="009F01A3" w:rsidRDefault="001917F3" w:rsidP="001917F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3" w:type="pct"/>
            <w:vMerge/>
            <w:vAlign w:val="center"/>
          </w:tcPr>
          <w:p w:rsidR="001917F3" w:rsidRPr="009F01A3" w:rsidRDefault="001917F3" w:rsidP="001917F3">
            <w:pPr>
              <w:autoSpaceDE w:val="0"/>
              <w:autoSpaceDN w:val="0"/>
              <w:adjustRightInd w:val="0"/>
              <w:contextualSpacing/>
              <w:jc w:val="center"/>
              <w:rPr>
                <w:rFonts w:ascii="Times New Roman" w:hAnsi="Times New Roman" w:cs="Times New Roman"/>
                <w:b/>
                <w:bCs/>
                <w:sz w:val="16"/>
                <w:szCs w:val="16"/>
                <w:lang w:val="en-US"/>
              </w:rPr>
            </w:pPr>
          </w:p>
        </w:tc>
        <w:tc>
          <w:tcPr>
            <w:tcW w:w="303" w:type="pct"/>
            <w:vMerge/>
            <w:vAlign w:val="center"/>
          </w:tcPr>
          <w:p w:rsidR="001917F3" w:rsidRPr="009F01A3" w:rsidRDefault="001917F3" w:rsidP="001917F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304" w:type="pct"/>
            <w:vMerge/>
            <w:vAlign w:val="center"/>
          </w:tcPr>
          <w:p w:rsidR="001917F3" w:rsidRPr="009F01A3" w:rsidRDefault="001917F3" w:rsidP="001917F3">
            <w:pPr>
              <w:autoSpaceDE w:val="0"/>
              <w:autoSpaceDN w:val="0"/>
              <w:adjustRightInd w:val="0"/>
              <w:contextualSpacing/>
              <w:jc w:val="center"/>
              <w:rPr>
                <w:rFonts w:ascii="Times New Roman" w:hAnsi="Times New Roman" w:cs="Times New Roman"/>
                <w:b/>
                <w:bCs/>
                <w:sz w:val="16"/>
                <w:szCs w:val="16"/>
                <w:lang w:val="en-US"/>
              </w:rPr>
            </w:pPr>
          </w:p>
        </w:tc>
        <w:tc>
          <w:tcPr>
            <w:tcW w:w="354" w:type="pct"/>
            <w:vMerge/>
            <w:vAlign w:val="center"/>
          </w:tcPr>
          <w:p w:rsidR="001917F3" w:rsidRPr="009F01A3" w:rsidRDefault="001917F3" w:rsidP="001917F3">
            <w:pPr>
              <w:autoSpaceDE w:val="0"/>
              <w:autoSpaceDN w:val="0"/>
              <w:adjustRightInd w:val="0"/>
              <w:contextualSpacing/>
              <w:jc w:val="center"/>
              <w:rPr>
                <w:rFonts w:ascii="Times New Roman" w:hAnsi="Times New Roman" w:cs="Times New Roman"/>
                <w:b/>
                <w:bCs/>
                <w:sz w:val="16"/>
                <w:szCs w:val="16"/>
                <w:lang w:val="en-US"/>
              </w:rPr>
            </w:pPr>
          </w:p>
        </w:tc>
        <w:tc>
          <w:tcPr>
            <w:tcW w:w="252" w:type="pct"/>
            <w:vMerge/>
            <w:vAlign w:val="center"/>
          </w:tcPr>
          <w:p w:rsidR="001917F3" w:rsidRPr="009F01A3" w:rsidRDefault="001917F3" w:rsidP="001917F3">
            <w:pPr>
              <w:autoSpaceDE w:val="0"/>
              <w:autoSpaceDN w:val="0"/>
              <w:adjustRightInd w:val="0"/>
              <w:contextualSpacing/>
              <w:jc w:val="center"/>
              <w:rPr>
                <w:rFonts w:ascii="Times New Roman" w:eastAsia="Times New Roman" w:hAnsi="Times New Roman" w:cs="Times New Roman"/>
                <w:b/>
                <w:bCs/>
                <w:sz w:val="16"/>
                <w:szCs w:val="16"/>
                <w:lang w:val="en-US" w:eastAsia="pt-BR"/>
              </w:rPr>
            </w:pPr>
          </w:p>
        </w:tc>
        <w:tc>
          <w:tcPr>
            <w:tcW w:w="202" w:type="pct"/>
            <w:vAlign w:val="center"/>
          </w:tcPr>
          <w:p w:rsidR="001917F3" w:rsidRPr="009F01A3" w:rsidRDefault="001917F3" w:rsidP="001917F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Men</w:t>
            </w:r>
          </w:p>
        </w:tc>
        <w:tc>
          <w:tcPr>
            <w:tcW w:w="303" w:type="pct"/>
            <w:vAlign w:val="center"/>
          </w:tcPr>
          <w:p w:rsidR="001917F3" w:rsidRPr="009F01A3" w:rsidRDefault="001917F3" w:rsidP="001917F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Women</w:t>
            </w:r>
          </w:p>
        </w:tc>
        <w:tc>
          <w:tcPr>
            <w:tcW w:w="291" w:type="pct"/>
            <w:vAlign w:val="center"/>
          </w:tcPr>
          <w:p w:rsidR="001917F3" w:rsidRPr="009F01A3" w:rsidRDefault="001917F3" w:rsidP="001917F3">
            <w:pPr>
              <w:autoSpaceDE w:val="0"/>
              <w:autoSpaceDN w:val="0"/>
              <w:adjustRightInd w:val="0"/>
              <w:contextualSpacing/>
              <w:jc w:val="center"/>
              <w:rPr>
                <w:rFonts w:ascii="Times New Roman" w:eastAsia="Times New Roman" w:hAnsi="Times New Roman" w:cs="Times New Roman"/>
                <w:b/>
                <w:bCs/>
                <w:sz w:val="16"/>
                <w:szCs w:val="16"/>
                <w:lang w:val="en-US" w:eastAsia="pt-BR"/>
              </w:rPr>
            </w:pPr>
            <w:r w:rsidRPr="009F01A3">
              <w:rPr>
                <w:rFonts w:ascii="Times New Roman" w:hAnsi="Times New Roman" w:cs="Times New Roman"/>
                <w:b/>
                <w:bCs/>
                <w:sz w:val="16"/>
                <w:szCs w:val="16"/>
                <w:lang w:val="en-US"/>
              </w:rPr>
              <w:t>Overall</w:t>
            </w:r>
          </w:p>
        </w:tc>
      </w:tr>
      <w:tr w:rsidR="001917F3" w:rsidRPr="009F01A3" w:rsidTr="009C09C1">
        <w:tc>
          <w:tcPr>
            <w:tcW w:w="415" w:type="pct"/>
            <w:tcBorders>
              <w:top w:val="single" w:sz="4" w:space="0" w:color="auto"/>
            </w:tcBorders>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Taylor</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1239rn7ohc","properties":{"formattedCitation":"(102)","plainCitation":"(102)","noteIndex":0},"citationItems":[{"id":"mvNZPZfg/Bzhafbzd","uris":["http://zotero.org/users/local/lLjYRh4M/items/Y8ZD4KB6"],"uri":["http://zotero.org/users/local/lLjYRh4M/items/Y8ZD4KB6"],"itemData":{"id":93,"type":"article-journal","title":"Latent Tuberculosis Infection Among Immigrant and Refugee Children Arriving in the United States: 2010","container-title":"J Immigr Minor Health","page":"966-70","volume":"18","issue":"5","source":"NLM","archive_location":"26364054","abstract":"Immigrants and refugees age 2-14 years entering the United States from countries with estimated tuberculosis (TB) incidence rate &gt;/=20 per 100,000 population are screened for TB. Children with TB disease are treated before US arrival. Children with positive tuberculin skin tests (TST), but negative TB evaluation during their pre-immigration examination, are classified with latent TB infection (LTBI) and are recommended for re-evaluation post-arrival. We examined post-immigration TB evaluation and therapy for children arriving with LTBI. We reviewed medical exam data from immigrant children with medical conditions and all refugee children arriving during 2010. Medical examination data were available for 67,334 children. Of these, 8231 (12 %) had LTBI pre-immigration; 5749 (70 %) were re-evaluated for TB post-immigration, and 64 % were retested by TST or IGRA. The pre-immigration LTBI diagnosis was changed for 38 % when retested by TST and for 71 % retested by IGRA. Estimated LTBI therapy initiation and completion rates were 68 and 12 %. In this population, testing with IGRA may limit the number of children targeted for therapy. Increased pre-immigration TB screening with post-immigration follow-up evaluation leading to completion of LTBI therapy should be encouraged to prevent TB reactivation.","DOI":"10.1007/s10903-015-0273-2","ISSN":"1557-1912","shortTitle":"Latent Tuberculosis Infection Among Immigrant and Refugee Children Arriving in the United States: 2010","journalAbbreviation":"Journal of immigrant and minority health / Center for Minority Public Health","language":"eng","author":[{"family":"Taylor","given":"E. M."},{"family":"Painter","given":"J."},{"family":"Posey","given":"D. L."},{"family":"Zhou","given":"W."},{"family":"Shetty","given":"S."}],"issued":{"date-parts":[["2016",10]]}}}],"schema":"https://github.com/citation-style-language/schema/raw/master/csl-citation.json"}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(102)</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Borders>
              <w:top w:val="single" w:sz="4" w:space="0" w:color="auto"/>
            </w:tcBorders>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2016</w:t>
            </w:r>
          </w:p>
        </w:tc>
        <w:tc>
          <w:tcPr>
            <w:tcW w:w="303" w:type="pct"/>
            <w:tcBorders>
              <w:top w:val="single" w:sz="4" w:space="0" w:color="auto"/>
            </w:tcBorders>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tcBorders>
              <w:top w:val="single" w:sz="4" w:space="0" w:color="auto"/>
            </w:tcBorders>
            <w:vAlign w:val="center"/>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Borders>
              <w:top w:val="single" w:sz="4" w:space="0" w:color="auto"/>
            </w:tcBorders>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NI</w:t>
            </w:r>
          </w:p>
        </w:tc>
        <w:tc>
          <w:tcPr>
            <w:tcW w:w="202" w:type="pct"/>
            <w:tcBorders>
              <w:top w:val="single" w:sz="4" w:space="0" w:color="auto"/>
            </w:tcBorders>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2010</w:t>
            </w:r>
          </w:p>
        </w:tc>
        <w:tc>
          <w:tcPr>
            <w:tcW w:w="202" w:type="pct"/>
            <w:tcBorders>
              <w:top w:val="single" w:sz="4" w:space="0" w:color="auto"/>
            </w:tcBorders>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2010</w:t>
            </w:r>
          </w:p>
        </w:tc>
        <w:tc>
          <w:tcPr>
            <w:tcW w:w="303" w:type="pct"/>
            <w:tcBorders>
              <w:top w:val="single" w:sz="4" w:space="0" w:color="auto"/>
            </w:tcBorders>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Borders>
              <w:top w:val="single" w:sz="4" w:space="0" w:color="auto"/>
            </w:tcBorders>
          </w:tcPr>
          <w:p w:rsidR="001917F3" w:rsidRPr="009F01A3" w:rsidRDefault="001917F3" w:rsidP="001917F3">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13,395</w:t>
            </w:r>
          </w:p>
        </w:tc>
        <w:tc>
          <w:tcPr>
            <w:tcW w:w="303" w:type="pct"/>
            <w:tcBorders>
              <w:top w:val="single" w:sz="4" w:space="0" w:color="auto"/>
            </w:tcBorders>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304" w:type="pct"/>
            <w:tcBorders>
              <w:top w:val="single" w:sz="4" w:space="0" w:color="auto"/>
            </w:tcBorders>
          </w:tcPr>
          <w:p w:rsidR="001917F3" w:rsidRPr="009F01A3" w:rsidRDefault="001917F3" w:rsidP="001917F3">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Borders>
              <w:top w:val="single" w:sz="4" w:space="0" w:color="auto"/>
            </w:tcBorders>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Borders>
              <w:top w:val="single" w:sz="4" w:space="0" w:color="auto"/>
            </w:tcBorders>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Borders>
              <w:top w:val="single" w:sz="4" w:space="0" w:color="auto"/>
            </w:tcBorders>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Borders>
              <w:top w:val="single" w:sz="4" w:space="0" w:color="auto"/>
            </w:tcBorders>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Borders>
              <w:top w:val="single" w:sz="4" w:space="0" w:color="auto"/>
            </w:tcBorders>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6.20</w:t>
            </w:r>
          </w:p>
        </w:tc>
      </w:tr>
      <w:tr w:rsidR="001917F3" w:rsidRPr="009F01A3" w:rsidTr="009C09C1">
        <w:tc>
          <w:tcPr>
            <w:tcW w:w="415" w:type="pct"/>
          </w:tcPr>
          <w:p w:rsidR="001917F3" w:rsidRPr="009F01A3" w:rsidRDefault="001917F3" w:rsidP="001917F3">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color w:val="000000"/>
                <w:sz w:val="16"/>
                <w:szCs w:val="16"/>
                <w:lang w:val="en-US" w:eastAsia="pt-BR"/>
              </w:rPr>
              <w:t>Pavlopoulou</w:t>
            </w:r>
            <w:proofErr w:type="spellEnd"/>
            <w:r w:rsidRPr="009F01A3">
              <w:rPr>
                <w:rFonts w:ascii="Times New Roman" w:eastAsia="Times New Roman" w:hAnsi="Times New Roman" w:cs="Times New Roman"/>
                <w:color w:val="000000"/>
                <w:sz w:val="16"/>
                <w:szCs w:val="16"/>
                <w:lang w:val="en-US" w:eastAsia="pt-BR"/>
              </w:rPr>
              <w:t xml:space="preserve"> </w:t>
            </w:r>
            <w:r w:rsidRPr="009F01A3">
              <w:rPr>
                <w:rFonts w:ascii="Times New Roman" w:eastAsia="Times New Roman" w:hAnsi="Times New Roman" w:cs="Times New Roman"/>
                <w:color w:val="000000"/>
                <w:sz w:val="16"/>
                <w:szCs w:val="16"/>
                <w:vertAlign w:val="superscript"/>
                <w:lang w:val="en-US" w:eastAsia="pt-BR"/>
              </w:rPr>
              <w:fldChar w:fldCharType="begin"/>
            </w:r>
            <w:r w:rsidRPr="009F01A3">
              <w:rPr>
                <w:rFonts w:ascii="Times New Roman" w:eastAsia="Times New Roman" w:hAnsi="Times New Roman" w:cs="Times New Roman"/>
                <w:color w:val="000000"/>
                <w:sz w:val="16"/>
                <w:szCs w:val="16"/>
                <w:vertAlign w:val="superscript"/>
                <w:lang w:val="en-US" w:eastAsia="pt-BR"/>
              </w:rPr>
              <w:instrText xml:space="preserve"> ADDIN ZOTERO_ITEM CSL_CITATION {"citationID":"a20j2pi0lo8","properties":{"formattedCitation":"(54)","plainCitation":"(54)","noteIndex":0},"citationItems":[{"id":"mvNZPZfg/ScXkL5ti","uris":["http://zotero.org/users/local/lLjYRh4M/items/4Z4PU7KS"],"uri":["http://zotero.org/users/local/lLjYRh4M/items/4Z4PU7KS"],"itemData":{"id":139,"type":"article-journal","title":"Clinical and laboratory evaluation of new immigrant and refugee children arriving in Greece","container-title":"BMC Pediatr","page":"132","volume":"17","issue":"1","source":"Nlm","archive_location":"28549451","abstract":"BACKGROUND: Migrant children are a population at risk for various health problems. Despite the increased inflow of migrants in Greece, data regarding their health assessment are lacking. This study aims to describe the clinical and certain laboratory characteristics and identify possible associations in a group of new immigrant (I) and refugee (R) children, arriving in Athens, Greece. METHODS: A prospective, cross- sectional study was performed in a migrant outpatient clinic of a tertiary Children's hospital. All immigrant and refugee children, examined to obtain a health certificate, within 3 months of their arrival in the country, were enrolled. Clinical and laboratory information was collected in a pre- designed form. We applied multiple logistic regression models to investigate the association between the child's status (immigrant vs refugee) and health indicators controlling for possible confounding effects, mainly of age and area of origin. RESULTS: From 2010 to 2013, a total of 300 children (I/R:138/162) with a mean age of 7.08 (range 1-14) years were included. Overall, 79.3% presented unknown vaccination status, 21.3% dental and 7.3% additional clinical problems. Latent tuberculosis was identified in 2.7%, while anemia, low serum ferritin and eosinophilia were found in 13.7%, 17.3%, and 22.7% of subjects, respectively. 57.7% had protective antibodies to hepatitis B surface antigen (anti-HBs &gt;/= 10 IU/L) and 30.6% elevated blood lead levels (EBLLs). Immigrants had less likely unknown immunization (OR = 0.25, p &lt; 0.001), but had increased odds of low ferritin (OR = 1.97, p = 0.043), EBLLs (OR = 2.97, p = 0.001) and protective anti-HBs (OR = 1.79, p = 0.03). Age was inversely associated with anemia (OR = 0.0.89, p = 0.017), low ferritin (OR = 0.91, p = 0.027), EBLLs (OR = 0.86, p = 0.001) or positive anti-HBs (OR = 0.92, p = 0.025). Children from Europe or Africa presented decreased probability of EBLLs (OR = 0.31, p = 0.001, and OR = 0.15, p = 0.005, respectively) compared to those from Asia. CONCLUSIONS: New immigrant and refugee children presented distinct clinical problems and certain laboratory abnormalities. Some of these health issues differed according to their migration status, age and geographic area of origin. These findings provide evidence that may assist the optimal approach of this vulnerable population.","DOI":"10.1186/s12887-017-0888-7","ISSN":"1471-2431","shortTitle":"Clinical and laboratory evaluation of new immigrant and refugee children arriving in Greece","journalAbbreviation":"BMC pediatrics","language":"eng","author":[{"family":"Pavlopoulou","given":"I. D."},{"family":"Tanaka","given":"M."},{"family":"Dikalioti","given":"S."},{"family":"Samoli","given":"E."},{"family":"Nisianakis","given":"P."},{"family":"Boleti","given":"O. D."},{"family":"Tsoumakas","given":"K."}],"issued":{"date-parts":[["2017",5,26]]}}}],"schema":"https://github.com/citation-style-language/schema/raw/master/csl-citation.json"} </w:instrText>
            </w:r>
            <w:r w:rsidRPr="009F01A3">
              <w:rPr>
                <w:rFonts w:ascii="Times New Roman" w:eastAsia="Times New Roman" w:hAnsi="Times New Roman" w:cs="Times New Roman"/>
                <w:color w:val="000000"/>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(54)</w:t>
            </w:r>
            <w:r w:rsidRPr="009F01A3">
              <w:rPr>
                <w:rFonts w:ascii="Times New Roman" w:eastAsia="Times New Roman" w:hAnsi="Times New Roman" w:cs="Times New Roman"/>
                <w:color w:val="000000"/>
                <w:sz w:val="16"/>
                <w:szCs w:val="16"/>
                <w:vertAlign w:val="superscript"/>
                <w:lang w:val="en-US" w:eastAsia="pt-BR"/>
              </w:rPr>
              <w:fldChar w:fldCharType="end"/>
            </w:r>
          </w:p>
        </w:tc>
        <w:tc>
          <w:tcPr>
            <w:tcW w:w="353"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2017</w:t>
            </w:r>
          </w:p>
        </w:tc>
        <w:tc>
          <w:tcPr>
            <w:tcW w:w="303"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color w:val="000000"/>
                <w:sz w:val="16"/>
                <w:szCs w:val="16"/>
                <w:lang w:val="en-US" w:eastAsia="pt-BR"/>
              </w:rPr>
              <w:t>Greece</w:t>
            </w:r>
          </w:p>
        </w:tc>
        <w:tc>
          <w:tcPr>
            <w:tcW w:w="354" w:type="pct"/>
            <w:vAlign w:val="center"/>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Mixed</w:t>
            </w:r>
          </w:p>
        </w:tc>
        <w:tc>
          <w:tcPr>
            <w:tcW w:w="556" w:type="pct"/>
          </w:tcPr>
          <w:p w:rsidR="001917F3" w:rsidRPr="009F01A3" w:rsidRDefault="001917F3" w:rsidP="001917F3">
            <w:pPr>
              <w:rPr>
                <w:rFonts w:ascii="Times New Roman" w:eastAsia="Calibri" w:hAnsi="Times New Roman" w:cs="Times New Roman"/>
                <w:color w:val="000000"/>
                <w:sz w:val="16"/>
                <w:szCs w:val="16"/>
                <w:lang w:val="en-US" w:eastAsia="pt-BR"/>
              </w:rPr>
            </w:pPr>
            <w:r w:rsidRPr="009F01A3">
              <w:rPr>
                <w:rFonts w:ascii="Times New Roman" w:eastAsia="Calibri" w:hAnsi="Times New Roman" w:cs="Times New Roman"/>
                <w:color w:val="000000"/>
                <w:sz w:val="16"/>
                <w:szCs w:val="16"/>
                <w:lang w:val="en-US" w:eastAsia="pt-BR"/>
              </w:rPr>
              <w:t>Afghanistan; Congo; Bangladesh; Pakistan; Iran; Lebanon; Sudan; Kenia; Somalia; Eritrea</w:t>
            </w:r>
          </w:p>
        </w:tc>
        <w:tc>
          <w:tcPr>
            <w:tcW w:w="202" w:type="pct"/>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2010</w:t>
            </w:r>
          </w:p>
        </w:tc>
        <w:tc>
          <w:tcPr>
            <w:tcW w:w="202" w:type="pct"/>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2013</w:t>
            </w:r>
          </w:p>
        </w:tc>
        <w:tc>
          <w:tcPr>
            <w:tcW w:w="303"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1917F3" w:rsidRPr="009F01A3" w:rsidRDefault="001917F3" w:rsidP="001917F3">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162</w:t>
            </w:r>
          </w:p>
        </w:tc>
        <w:tc>
          <w:tcPr>
            <w:tcW w:w="303" w:type="pct"/>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44.4</w:t>
            </w:r>
          </w:p>
        </w:tc>
        <w:tc>
          <w:tcPr>
            <w:tcW w:w="304" w:type="pct"/>
          </w:tcPr>
          <w:p w:rsidR="001917F3" w:rsidRPr="009F01A3" w:rsidRDefault="001917F3" w:rsidP="001917F3">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eastAsia="Calibri" w:hAnsi="Times New Roman" w:cs="Times New Roman"/>
                <w:sz w:val="16"/>
                <w:szCs w:val="16"/>
                <w:lang w:val="en-US"/>
              </w:rPr>
              <w:t>10</w:t>
            </w:r>
          </w:p>
        </w:tc>
        <w:tc>
          <w:tcPr>
            <w:tcW w:w="202" w:type="pct"/>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4.94</w:t>
            </w:r>
          </w:p>
        </w:tc>
      </w:tr>
      <w:tr w:rsidR="001917F3" w:rsidRPr="009F01A3" w:rsidTr="009C09C1">
        <w:tc>
          <w:tcPr>
            <w:tcW w:w="415"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 xml:space="preserve">Harling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e43i1ubai","properties":{"formattedCitation":"(38)","plainCitation":"(38)","noteIndex":0},"citationItems":[{"id":"mvNZPZfg/c02rBulL","uris":["http://zotero.org/users/local/lLjYRh4M/items/98AKMHDD"],"uri":["http://zotero.org/users/local/lLjYRh4M/items/98AKMHDD"],"itemData":{"id":30,"type":"article-journal","title":"Tuberculosis screening of asylum seekers: 1 years' experience at the Dover Induction Centres","container-title":"Public Health","page":"822-7","volume":"121","issue":"11","source":"NLM","archive_location":"17645899","abstract":"OBJECTIVES: To describe the uptake and outcomes of a service for tuberculosis screening of asylum seekers. STUDY DESIGN: Descriptive study. METHODS: A tuberculosis screening service was established at the Dover Induction Centres for all asylum seekers entering the UK through ports in Kent. This study describes the uptake and completion of tuberculosis screening, the results of tuberculin skin testing and follow-up, and the cost of the service during its first year. RESULTS: In 1 year, 8258 asylum seekers were screened: 94% of 8799 who were eligible. A total of 2.2% of those with completed screens were positive (on the basis of symptoms requiring further investigation or positive Heaf reaction). Eleven cases of active respiratory disease were diagnosed on the basis of symptoms, Heaf reaction plus chest X-ray, or both; three were confirmed microbiologically. One-quarter of Heaf tests were not read because of the rapid dispersal of asylum seekers. The follow-up of those requiring further investigations at their destinations was largely unknown. The service cost was 350,000 pounds. CONCLUSIONS: Induction centre tuberculosis screening services for asylum seekers can achieve a high uptake, but their cost-effectiveness is questionable, particularly where the yield of active disease is low. Tuberculin skin testing is not an ideal screening procedure in this setting because it may be uncompleted and the benefit of detecting latent infections is uncertain.","DOI":"10.1016/j.puhe.2007.02.019","ISSN":"0033-3506 (Print) 0033-3506","shortTitle":"Tuberculosis screening of asylum seekers: 1 years' experience at the Dover Induction Centres","journalAbbreviation":"Public health","language":"eng","author":[{"family":"Harling","given":"R."},{"family":"Pearce","given":"M."},{"family":"Chandrakumar","given":"M."},{"family":"Mueller","given":"K."},{"family":"Hayward","given":"A."}],"issued":{"date-parts":[["2007",11]]}}}],"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(38)</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2007</w:t>
            </w:r>
          </w:p>
        </w:tc>
        <w:tc>
          <w:tcPr>
            <w:tcW w:w="303"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UK</w:t>
            </w:r>
          </w:p>
        </w:tc>
        <w:tc>
          <w:tcPr>
            <w:tcW w:w="354" w:type="pct"/>
            <w:vAlign w:val="center"/>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Asylum Seeker</w:t>
            </w:r>
          </w:p>
        </w:tc>
        <w:tc>
          <w:tcPr>
            <w:tcW w:w="556" w:type="pct"/>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Iraq; Afghanistan; Czech Republic; Iran; Congo; Somalia; Zimbabwe; Angola</w:t>
            </w:r>
          </w:p>
        </w:tc>
        <w:tc>
          <w:tcPr>
            <w:tcW w:w="202" w:type="pct"/>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2002</w:t>
            </w:r>
          </w:p>
        </w:tc>
        <w:tc>
          <w:tcPr>
            <w:tcW w:w="202" w:type="pct"/>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2003</w:t>
            </w:r>
          </w:p>
        </w:tc>
        <w:tc>
          <w:tcPr>
            <w:tcW w:w="303"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1917F3" w:rsidRPr="009F01A3" w:rsidRDefault="001917F3" w:rsidP="001917F3">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4,275</w:t>
            </w:r>
          </w:p>
        </w:tc>
        <w:tc>
          <w:tcPr>
            <w:tcW w:w="303" w:type="pct"/>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25.0</w:t>
            </w:r>
          </w:p>
        </w:tc>
        <w:tc>
          <w:tcPr>
            <w:tcW w:w="304" w:type="pct"/>
          </w:tcPr>
          <w:p w:rsidR="001917F3" w:rsidRPr="009F01A3" w:rsidRDefault="001917F3" w:rsidP="001917F3">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202" w:type="pct"/>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2.4</w:t>
            </w:r>
          </w:p>
        </w:tc>
        <w:tc>
          <w:tcPr>
            <w:tcW w:w="303" w:type="pct"/>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0.9</w:t>
            </w:r>
          </w:p>
        </w:tc>
        <w:tc>
          <w:tcPr>
            <w:tcW w:w="291" w:type="pct"/>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2.18</w:t>
            </w:r>
          </w:p>
        </w:tc>
      </w:tr>
      <w:tr w:rsidR="001917F3" w:rsidRPr="00DC58F6" w:rsidTr="009C09C1">
        <w:tc>
          <w:tcPr>
            <w:tcW w:w="415"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 xml:space="preserve">Lee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921ventnu","properties":{"formattedCitation":"(61)","plainCitation":"(61)","noteIndex":0},"citationItems":[{"id":"mvNZPZfg/RYwmo52b","uris":["http://zotero.org/users/local/lLjYRh4M/items/XUFP6RD5"],"uri":["http://zotero.org/users/local/lLjYRh4M/items/XUFP6RD5"],"itemData":{"id":48,"type":"article-journal","title":"Disease surveillance among newly arriving refugees and immigrants--Electronic Disease Notification System, United States, 2009","container-title":"MMWR Surveill Summ","page":"1-20","volume":"62","issue":"7","source":"NLM","archive_location":"24225411","abstract":"PROBLEM/CONDITION: Approximately 450,000 legal permanent immigrants and 75,000 refugees enter the United States annually after receiving required medical examinations by overseas panel physicians (physicians who follow the CDC medical screening guidelines provided to the U.S. Department of State). CDC has the regulatory responsibility for preventing the introduction, transmission, and spread of communicable diseases into the United States as well as for developing the guidelines, known as technical instructions, for the overseas medical examinations. Other conditions that are not infectious might preclude an immigrant or refugee from entering the United States and also are reported as part of the medical examination. After arrival in the United States, all refugees are recommended to obtain a medical assessment by a health-care provider or a health department within 30 days. In addition, immigrants with certain medical conditions such as noninfectious tuberculosis at the time of the original medical examination are recommended to be evaluated after arrival to ensure that appropriate prevention or treatment measures are instituted. Health departments need timely and accurate notifications of newly arriving immigrants, refugees, and persons with other visa types to facilitate these evaluations. Notifications for all newly arriving refugees (with or without medical conditions) and immigrants with medical conditions are provided by CDC's Electronic Disease Notification (EDN) system. This is the first report describing EDN. REPORTING PERIOD: This report summarizes notifications by the EDN system during January-December 2009. DESCRIPTION OF SYSTEM: The EDN system is a centralized electronic reporting system that collects health information on newly arriving refugees and immigrants with Class A and Class B medical conditions. Class A conditions render applicants inadmissible and require a waiver for entry; Class B conditions are admissible but might require treatment or follow-up. Information in the EDN system is used to notify state health departments in all 50 states and the District of Columbia about the arrival of these persons in the United States. RESULTS: In 2009, the EDN system notified U.S. state and local health departments of 104,954 newly arriving refugees and immigrants, of whom 78,899 (75.2%) were refugees (with or without medical conditions), 19,358 (18.4%) were immigrants with medical conditions, and 6,697 (6.4%) were persons with other visa types. Of the 78,899 refugees, 21,319 (27%) had a medical condition. The majority (93.4%) of immigrants with medical conditions had tuberculosis classifications (i.e., either had evidence of latent tuberculosis infection or chest radiograph findings interpreted by the overseas panel physician as consistent with tuberculosis). Of the 41,415 refugees and immigrants with Class A or Class B medical conditions, 405 (1%) had Class A conditions, and 40,994 (99%) had Class B conditions. The majority of refugees and immigrants with suspected Class B tuberculosis were born in the Philippines (41.3%), Mexico (12.1%), Burma (8.7%), Vietnam (7.8%), and the Dominican Republic (5.8%). The majority of refugee notifications were for persons born in Iraq (23.9%), Burma (18.9%), and Bhutan (15.1%). Approximately one third of the tuberculosis notifications were sent to health departments in California (20.5%), Texas (9.8%), and New York (6.3%), and the national reporting rate for tuberculosis follow-up was 75.4% within 30 days of arrival. INTERPRETATION: The findings in this report suggest that 1) overseas medical screening results in a low frequency (0.4%) of inadmissible medical conditions in the United States, 2) the EDN system provides more direct notifications to health departments than the previous paper-based system about newly arriving immigrants and refugees who need medical follow-up, and 3) approximately 75% of follow-up occurs among persons with suspected tuberculosis who are reported to EDN by states receiving newly arriving refugees and immigrants. PUBLIC HEALTH ACTIONS: The data in this report can be used to help state and local health departments provide prompt and effective follow-up, evaluation, and treatment to newly arriving immigrants and refugees. Timely follow-up might prevent additional spread of tuberculosis or other communicable diseases of public health significance into their communities. In addition, information from the EDN system allows health departments to use their resources as effectively as possible by providing clinical information that identifies the refugees and immigrants who should be prioritized for evaluation and treatment.","ISSN":"0892-3787","shortTitle":"Disease surveillance among newly arriving refugees and immigrants--Electronic Disease Notification System, United States, 2009","journalAbbreviation":"Morbidity and mortality weekly report. Surveillance summaries (Washington, D.C. : 2002)","language":"eng","author":[{"family":"Lee","given":"D."},{"family":"Philen","given":"R."},{"family":"Wang","given":"Z."},{"family":"McSpadden","given":"P."},{"family":"Posey","given":"D. L."},{"family":"Ortega","given":"L. S."},{"family":"Weinberg","given":"M. S."},{"family":"Brown","given":"C."},{"family":"Zhou","given":"W."},{"family":"Painter","given":"J. A."}],"issued":{"date-parts":[["2013",11,15]]}}}],"schema":"https://github.com/citation-style-language/schema/raw/master/csl-citation.json"}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val="en-US" w:eastAsia="pt-BR"/>
              </w:rPr>
              <w:t>(61)</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2013</w:t>
            </w:r>
          </w:p>
        </w:tc>
        <w:tc>
          <w:tcPr>
            <w:tcW w:w="303"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vAlign w:val="center"/>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color w:val="000000"/>
                <w:sz w:val="16"/>
                <w:szCs w:val="16"/>
                <w:lang w:val="en-US" w:eastAsia="pt-BR"/>
              </w:rPr>
              <w:t>Iraq; Burma; Bhutan; Iran; Cuba; Thailand; Vietnam; Nepal; Somalia</w:t>
            </w:r>
          </w:p>
        </w:tc>
        <w:tc>
          <w:tcPr>
            <w:tcW w:w="202" w:type="pct"/>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2009</w:t>
            </w:r>
          </w:p>
        </w:tc>
        <w:tc>
          <w:tcPr>
            <w:tcW w:w="202" w:type="pct"/>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2009</w:t>
            </w:r>
          </w:p>
        </w:tc>
        <w:tc>
          <w:tcPr>
            <w:tcW w:w="303"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1917F3" w:rsidRPr="009F01A3" w:rsidRDefault="001917F3" w:rsidP="001917F3">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78,899</w:t>
            </w:r>
          </w:p>
        </w:tc>
        <w:tc>
          <w:tcPr>
            <w:tcW w:w="303" w:type="pct"/>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304" w:type="pct"/>
          </w:tcPr>
          <w:p w:rsidR="001917F3" w:rsidRPr="009F01A3" w:rsidRDefault="001917F3" w:rsidP="001917F3">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 / IGRA</w:t>
            </w:r>
          </w:p>
        </w:tc>
        <w:tc>
          <w:tcPr>
            <w:tcW w:w="252" w:type="pct"/>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1.87</w:t>
            </w:r>
          </w:p>
        </w:tc>
      </w:tr>
      <w:tr w:rsidR="001917F3" w:rsidRPr="009F01A3" w:rsidTr="001B7968">
        <w:tc>
          <w:tcPr>
            <w:tcW w:w="415"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Yanni</w:t>
            </w:r>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lrvori3jk","properties":{"formattedCitation":"(59)","plainCitation":"(59)","noteIndex":0},"citationItems":[{"id":"mvNZPZfg/QwdlFkZY","uris":["http://zotero.org/users/local/lLjYRh4M/items/BT5H78JN"],"uri":["http://zotero.org/users/local/lLjYRh4M/items/BT5H78JN"],"itemData":{"id":105,"type":"article-journal","title":"The health profile and chronic diseases comorbidities of US-bound Iraqi refugees screened by the International Organization for Migration in Jordan: 2007-2009","container-title":"J Immigr Minor Health","page":"1-9","volume":"15","issue":"1","source":"NLM","archive_location":"22307545","abstract":"More than 63,000 Iraqi refugees were resettled in the United States from 1994 to 2010. We analyzed data for all US-bound Iraqi refugees screened in International Organization for Migration clinics in Jordan during June 2007-September 2009 (n = 18,990), to describe their health profile before arrival in the United States. Of 14,077 US-bound Iraqi refugees &gt;/= 15 years of age, one had active TB, 251 had latent TB infection, and 14 had syphilis. No HIV infections were reported. Chronic diseases comorbidities accounted for a large burden of disease in this population: 35% (n = 4,105) of screened Iraqi refugees had at least one of three chronic medical conditions; hypertension, diabetes mellitus, or obesity. State health departments and clinicians who screen refugees need to be aware of the high prevalence of chronic diseases among Iraqi refugees resettled in the United States. These results will help public health specialists develop policies to reduce morbidity and mortality among US-bound Iraqi refugees.","DOI":"10.1007/s10903-012-9578-6","ISSN":"1557-1912","shortTitle":"The health profile and chronic diseases comorbidities of US-bound Iraqi refugees screened by the International Organization for Migration in Jordan: 2007-2009","journalAbbreviation":"Journal of immigrant and minority health / Center for Minority Public Health","language":"eng","author":[{"family":"Yanni","given":"E. A."},{"family":"Naoum","given":"M."},{"family":"Odeh","given":"N."},{"family":"Han","given":"P."},{"family":"Coleman","given":"M."},{"family":"Burke","given":"H."}],"issued":{"date-parts":[["2013",2]]}}}],"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(59)</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2013</w:t>
            </w:r>
          </w:p>
        </w:tc>
        <w:tc>
          <w:tcPr>
            <w:tcW w:w="303"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Jordan</w:t>
            </w:r>
          </w:p>
        </w:tc>
        <w:tc>
          <w:tcPr>
            <w:tcW w:w="354" w:type="pct"/>
            <w:vAlign w:val="center"/>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Iraq</w:t>
            </w:r>
          </w:p>
        </w:tc>
        <w:tc>
          <w:tcPr>
            <w:tcW w:w="202" w:type="pct"/>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2007</w:t>
            </w:r>
          </w:p>
        </w:tc>
        <w:tc>
          <w:tcPr>
            <w:tcW w:w="202" w:type="pct"/>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2009</w:t>
            </w:r>
          </w:p>
        </w:tc>
        <w:tc>
          <w:tcPr>
            <w:tcW w:w="303" w:type="pct"/>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Pr>
          <w:p w:rsidR="001917F3" w:rsidRPr="009F01A3" w:rsidRDefault="001917F3" w:rsidP="001917F3">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13,669</w:t>
            </w:r>
          </w:p>
        </w:tc>
        <w:tc>
          <w:tcPr>
            <w:tcW w:w="303" w:type="pct"/>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50.3</w:t>
            </w:r>
          </w:p>
        </w:tc>
        <w:tc>
          <w:tcPr>
            <w:tcW w:w="304" w:type="pct"/>
          </w:tcPr>
          <w:p w:rsidR="001917F3" w:rsidRPr="009F01A3" w:rsidRDefault="001917F3" w:rsidP="001917F3">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Cohort</w:t>
            </w:r>
          </w:p>
        </w:tc>
        <w:tc>
          <w:tcPr>
            <w:tcW w:w="354" w:type="pct"/>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10</w:t>
            </w:r>
          </w:p>
        </w:tc>
        <w:tc>
          <w:tcPr>
            <w:tcW w:w="202" w:type="pct"/>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1.84</w:t>
            </w:r>
          </w:p>
        </w:tc>
      </w:tr>
      <w:tr w:rsidR="001917F3" w:rsidRPr="009F01A3" w:rsidTr="001B7968">
        <w:tc>
          <w:tcPr>
            <w:tcW w:w="415" w:type="pct"/>
            <w:tcBorders>
              <w:bottom w:val="single" w:sz="4" w:space="0" w:color="auto"/>
            </w:tcBorders>
          </w:tcPr>
          <w:p w:rsidR="001917F3" w:rsidRPr="009F01A3" w:rsidRDefault="001917F3" w:rsidP="001917F3">
            <w:pPr>
              <w:rPr>
                <w:rFonts w:ascii="Times New Roman" w:eastAsia="Times New Roman" w:hAnsi="Times New Roman" w:cs="Times New Roman"/>
                <w:sz w:val="16"/>
                <w:szCs w:val="16"/>
                <w:lang w:val="en-US" w:eastAsia="pt-BR"/>
              </w:rPr>
            </w:pPr>
            <w:proofErr w:type="spellStart"/>
            <w:r w:rsidRPr="009F01A3">
              <w:rPr>
                <w:rFonts w:ascii="Times New Roman" w:eastAsia="Times New Roman" w:hAnsi="Times New Roman" w:cs="Times New Roman"/>
                <w:sz w:val="16"/>
                <w:szCs w:val="16"/>
                <w:lang w:val="en-US" w:eastAsia="pt-BR"/>
              </w:rPr>
              <w:t>Entzel</w:t>
            </w:r>
            <w:proofErr w:type="spellEnd"/>
            <w:r w:rsidRPr="009F01A3">
              <w:rPr>
                <w:rFonts w:ascii="Times New Roman" w:eastAsia="Times New Roman" w:hAnsi="Times New Roman" w:cs="Times New Roman"/>
                <w:sz w:val="16"/>
                <w:szCs w:val="16"/>
                <w:vertAlign w:val="superscript"/>
                <w:lang w:val="en-US" w:eastAsia="pt-BR"/>
              </w:rPr>
              <w:t xml:space="preserve"> </w:t>
            </w:r>
            <w:r w:rsidRPr="009F01A3">
              <w:rPr>
                <w:rFonts w:ascii="Times New Roman" w:eastAsia="Times New Roman" w:hAnsi="Times New Roman" w:cs="Times New Roman"/>
                <w:sz w:val="16"/>
                <w:szCs w:val="16"/>
                <w:vertAlign w:val="superscript"/>
                <w:lang w:val="en-US" w:eastAsia="pt-BR"/>
              </w:rPr>
              <w:fldChar w:fldCharType="begin"/>
            </w:r>
            <w:r w:rsidRPr="009F01A3">
              <w:rPr>
                <w:rFonts w:ascii="Times New Roman" w:eastAsia="Times New Roman" w:hAnsi="Times New Roman" w:cs="Times New Roman"/>
                <w:sz w:val="16"/>
                <w:szCs w:val="16"/>
                <w:vertAlign w:val="superscript"/>
                <w:lang w:val="en-US" w:eastAsia="pt-BR"/>
              </w:rPr>
              <w:instrText xml:space="preserve"> ADDIN ZOTERO_ITEM CSL_CITATION {"citationID":"a1u5hh96hrr","properties":{"formattedCitation":"(55)","plainCitation":"(55)","noteIndex":0},"citationItems":[{"id":"mvNZPZfg/bLKgi8SY","uris":["http://zotero.org/users/local/lLjYRh4M/items/HB8VHPPG"],"uri":["http://zotero.org/users/local/lLjYRh4M/items/HB8VHPPG"],"itemData":{"id":21,"type":"article-journal","title":"The health status of newly arrived refugee children in Miami-Dade County, Florida","container-title":"American Journal of Public Health","page":"286-288","volume":"93","issue":"2","ISSN":"0090-0036","shortTitle":"The health status of newly arrived refugee children in Miami-Dade County, Florida","author":[{"family":"Entzel","given":"P. P."},{"family":"Fleming","given":"L. E."},{"family":"Trepka","given":"M. J."},{"family":"Squicciarini","given":"D."}],"issued":{"date-parts":[["2003"]]}}}],"schema":"https://github.com/citation-style-language/schema/raw/master/csl-citation.json"} </w:instrText>
            </w:r>
            <w:r w:rsidRPr="009F01A3">
              <w:rPr>
                <w:rFonts w:ascii="Times New Roman" w:eastAsia="Times New Roman" w:hAnsi="Times New Roman" w:cs="Times New Roman"/>
                <w:sz w:val="16"/>
                <w:szCs w:val="16"/>
                <w:vertAlign w:val="superscript"/>
                <w:lang w:val="en-US" w:eastAsia="pt-BR"/>
              </w:rPr>
              <w:fldChar w:fldCharType="separate"/>
            </w:r>
            <w:r w:rsidRPr="009F01A3">
              <w:rPr>
                <w:rFonts w:ascii="Times New Roman" w:eastAsia="Times New Roman" w:hAnsi="Times New Roman" w:cs="Times New Roman"/>
                <w:sz w:val="16"/>
                <w:szCs w:val="16"/>
                <w:vertAlign w:val="superscript"/>
                <w:lang w:eastAsia="pt-BR"/>
              </w:rPr>
              <w:t>(55)</w:t>
            </w:r>
            <w:r w:rsidRPr="009F01A3">
              <w:rPr>
                <w:rFonts w:ascii="Times New Roman" w:eastAsia="Times New Roman" w:hAnsi="Times New Roman" w:cs="Times New Roman"/>
                <w:sz w:val="16"/>
                <w:szCs w:val="16"/>
                <w:vertAlign w:val="superscript"/>
                <w:lang w:val="en-US" w:eastAsia="pt-BR"/>
              </w:rPr>
              <w:fldChar w:fldCharType="end"/>
            </w:r>
          </w:p>
        </w:tc>
        <w:tc>
          <w:tcPr>
            <w:tcW w:w="353" w:type="pct"/>
            <w:tcBorders>
              <w:bottom w:val="single" w:sz="4" w:space="0" w:color="auto"/>
            </w:tcBorders>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2003</w:t>
            </w:r>
          </w:p>
        </w:tc>
        <w:tc>
          <w:tcPr>
            <w:tcW w:w="303" w:type="pct"/>
            <w:tcBorders>
              <w:bottom w:val="single" w:sz="4" w:space="0" w:color="auto"/>
            </w:tcBorders>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USA</w:t>
            </w:r>
          </w:p>
        </w:tc>
        <w:tc>
          <w:tcPr>
            <w:tcW w:w="354" w:type="pct"/>
            <w:tcBorders>
              <w:bottom w:val="single" w:sz="4" w:space="0" w:color="auto"/>
            </w:tcBorders>
            <w:vAlign w:val="center"/>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color w:val="000000"/>
                <w:sz w:val="16"/>
                <w:szCs w:val="16"/>
                <w:lang w:val="en-US"/>
              </w:rPr>
              <w:t>Refugee</w:t>
            </w:r>
          </w:p>
        </w:tc>
        <w:tc>
          <w:tcPr>
            <w:tcW w:w="556" w:type="pct"/>
            <w:tcBorders>
              <w:bottom w:val="single" w:sz="4" w:space="0" w:color="auto"/>
            </w:tcBorders>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Cuba</w:t>
            </w:r>
          </w:p>
        </w:tc>
        <w:tc>
          <w:tcPr>
            <w:tcW w:w="202" w:type="pct"/>
            <w:tcBorders>
              <w:bottom w:val="single" w:sz="4" w:space="0" w:color="auto"/>
            </w:tcBorders>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1999</w:t>
            </w:r>
          </w:p>
        </w:tc>
        <w:tc>
          <w:tcPr>
            <w:tcW w:w="202" w:type="pct"/>
            <w:tcBorders>
              <w:bottom w:val="single" w:sz="4" w:space="0" w:color="auto"/>
            </w:tcBorders>
          </w:tcPr>
          <w:p w:rsidR="001917F3" w:rsidRPr="009F01A3" w:rsidRDefault="001917F3" w:rsidP="001917F3">
            <w:pP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2000</w:t>
            </w:r>
          </w:p>
        </w:tc>
        <w:tc>
          <w:tcPr>
            <w:tcW w:w="303" w:type="pct"/>
            <w:tcBorders>
              <w:bottom w:val="single" w:sz="4" w:space="0" w:color="auto"/>
            </w:tcBorders>
          </w:tcPr>
          <w:p w:rsidR="001917F3" w:rsidRPr="009F01A3" w:rsidRDefault="001917F3" w:rsidP="001917F3">
            <w:pP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Routine screening</w:t>
            </w:r>
          </w:p>
        </w:tc>
        <w:tc>
          <w:tcPr>
            <w:tcW w:w="303" w:type="pct"/>
            <w:tcBorders>
              <w:bottom w:val="single" w:sz="4" w:space="0" w:color="auto"/>
            </w:tcBorders>
          </w:tcPr>
          <w:p w:rsidR="001917F3" w:rsidRPr="009F01A3" w:rsidRDefault="001917F3" w:rsidP="001917F3">
            <w:pPr>
              <w:jc w:val="center"/>
              <w:rPr>
                <w:rFonts w:ascii="Times New Roman" w:eastAsia="Times New Roman" w:hAnsi="Times New Roman" w:cs="Times New Roman"/>
                <w:sz w:val="16"/>
                <w:szCs w:val="16"/>
                <w:lang w:val="en-US" w:eastAsia="pt-BR"/>
              </w:rPr>
            </w:pPr>
            <w:r w:rsidRPr="009F01A3">
              <w:rPr>
                <w:rFonts w:ascii="Times New Roman" w:eastAsia="Times New Roman" w:hAnsi="Times New Roman" w:cs="Times New Roman"/>
                <w:sz w:val="16"/>
                <w:szCs w:val="16"/>
                <w:lang w:val="en-US" w:eastAsia="pt-BR"/>
              </w:rPr>
              <w:t>241</w:t>
            </w:r>
          </w:p>
        </w:tc>
        <w:tc>
          <w:tcPr>
            <w:tcW w:w="303" w:type="pct"/>
            <w:tcBorders>
              <w:bottom w:val="single" w:sz="4" w:space="0" w:color="auto"/>
            </w:tcBorders>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304" w:type="pct"/>
            <w:tcBorders>
              <w:bottom w:val="single" w:sz="4" w:space="0" w:color="auto"/>
            </w:tcBorders>
          </w:tcPr>
          <w:p w:rsidR="001917F3" w:rsidRPr="009F01A3" w:rsidRDefault="001917F3" w:rsidP="001917F3">
            <w:pPr>
              <w:jc w:val="center"/>
              <w:rPr>
                <w:rFonts w:ascii="Times New Roman" w:eastAsia="Calibri" w:hAnsi="Times New Roman" w:cs="Times New Roman"/>
                <w:sz w:val="16"/>
                <w:szCs w:val="16"/>
                <w:lang w:val="en-US" w:eastAsia="pt-BR"/>
              </w:rPr>
            </w:pPr>
            <w:r w:rsidRPr="009F01A3">
              <w:rPr>
                <w:rFonts w:ascii="Times New Roman" w:eastAsia="Calibri" w:hAnsi="Times New Roman" w:cs="Times New Roman"/>
                <w:sz w:val="16"/>
                <w:szCs w:val="16"/>
                <w:lang w:val="en-US" w:eastAsia="pt-BR"/>
              </w:rPr>
              <w:t>Cross sectional</w:t>
            </w:r>
          </w:p>
        </w:tc>
        <w:tc>
          <w:tcPr>
            <w:tcW w:w="354" w:type="pct"/>
            <w:tcBorders>
              <w:bottom w:val="single" w:sz="4" w:space="0" w:color="auto"/>
            </w:tcBorders>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TST</w:t>
            </w:r>
          </w:p>
        </w:tc>
        <w:tc>
          <w:tcPr>
            <w:tcW w:w="252" w:type="pct"/>
            <w:tcBorders>
              <w:bottom w:val="single" w:sz="4" w:space="0" w:color="auto"/>
            </w:tcBorders>
          </w:tcPr>
          <w:p w:rsidR="001917F3" w:rsidRPr="009F01A3" w:rsidRDefault="001917F3" w:rsidP="001917F3">
            <w:pPr>
              <w:jc w:val="center"/>
              <w:rPr>
                <w:rFonts w:ascii="Times New Roman" w:hAnsi="Times New Roman" w:cs="Times New Roman"/>
                <w:sz w:val="16"/>
                <w:szCs w:val="16"/>
                <w:lang w:val="en-US"/>
              </w:rPr>
            </w:pPr>
            <w:r w:rsidRPr="009F01A3">
              <w:rPr>
                <w:rFonts w:ascii="Times New Roman" w:hAnsi="Times New Roman" w:cs="Times New Roman"/>
                <w:sz w:val="16"/>
                <w:szCs w:val="16"/>
                <w:lang w:val="en-US"/>
              </w:rPr>
              <w:t>NI</w:t>
            </w:r>
          </w:p>
        </w:tc>
        <w:tc>
          <w:tcPr>
            <w:tcW w:w="202" w:type="pct"/>
            <w:tcBorders>
              <w:bottom w:val="single" w:sz="4" w:space="0" w:color="auto"/>
            </w:tcBorders>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303" w:type="pct"/>
            <w:tcBorders>
              <w:bottom w:val="single" w:sz="4" w:space="0" w:color="auto"/>
            </w:tcBorders>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NI</w:t>
            </w:r>
          </w:p>
        </w:tc>
        <w:tc>
          <w:tcPr>
            <w:tcW w:w="291" w:type="pct"/>
            <w:tcBorders>
              <w:bottom w:val="single" w:sz="4" w:space="0" w:color="auto"/>
            </w:tcBorders>
          </w:tcPr>
          <w:p w:rsidR="001917F3" w:rsidRPr="009F01A3" w:rsidRDefault="001917F3" w:rsidP="001917F3">
            <w:pPr>
              <w:jc w:val="center"/>
              <w:rPr>
                <w:rFonts w:ascii="Times New Roman" w:hAnsi="Times New Roman" w:cs="Times New Roman"/>
                <w:color w:val="000000"/>
                <w:sz w:val="16"/>
                <w:szCs w:val="16"/>
                <w:lang w:val="en-US"/>
              </w:rPr>
            </w:pPr>
            <w:r w:rsidRPr="009F01A3">
              <w:rPr>
                <w:rFonts w:ascii="Times New Roman" w:hAnsi="Times New Roman" w:cs="Times New Roman"/>
                <w:color w:val="000000"/>
                <w:sz w:val="16"/>
                <w:szCs w:val="16"/>
                <w:lang w:val="en-US"/>
              </w:rPr>
              <w:t>0.41</w:t>
            </w:r>
          </w:p>
        </w:tc>
      </w:tr>
    </w:tbl>
    <w:p w:rsidR="004A0A10" w:rsidRDefault="004A0A10" w:rsidP="004A0A10">
      <w:pPr>
        <w:spacing w:after="0" w:line="240" w:lineRule="auto"/>
        <w:rPr>
          <w:rFonts w:ascii="Times New Roman" w:eastAsia="Calibri" w:hAnsi="Times New Roman" w:cs="Times New Roman"/>
          <w:b/>
          <w:sz w:val="20"/>
          <w:szCs w:val="20"/>
          <w:lang w:val="en-US" w:eastAsia="pt-BR"/>
        </w:rPr>
      </w:pPr>
    </w:p>
    <w:p w:rsidR="004A0A10" w:rsidRDefault="004A0A10" w:rsidP="004A0A10">
      <w:pPr>
        <w:spacing w:after="0" w:line="240" w:lineRule="auto"/>
        <w:rPr>
          <w:rFonts w:ascii="Times New Roman" w:eastAsia="Calibri" w:hAnsi="Times New Roman" w:cs="Times New Roman"/>
          <w:b/>
          <w:sz w:val="20"/>
          <w:szCs w:val="20"/>
          <w:lang w:val="en-US" w:eastAsia="pt-BR"/>
        </w:rPr>
      </w:pPr>
    </w:p>
    <w:p w:rsidR="004A0A10" w:rsidRPr="009F01A3" w:rsidRDefault="004A0A10" w:rsidP="009F01A3">
      <w:pPr>
        <w:jc w:val="both"/>
        <w:rPr>
          <w:rFonts w:ascii="Times New Roman" w:eastAsia="Calibri" w:hAnsi="Times New Roman" w:cs="Times New Roman"/>
          <w:bCs/>
          <w:color w:val="000000"/>
          <w:sz w:val="20"/>
          <w:szCs w:val="20"/>
          <w:lang w:val="en-US"/>
        </w:rPr>
      </w:pPr>
      <w:r w:rsidRPr="009F01A3">
        <w:rPr>
          <w:rFonts w:ascii="Times New Roman" w:eastAsia="Calibri" w:hAnsi="Times New Roman" w:cs="Times New Roman"/>
          <w:color w:val="000000"/>
          <w:sz w:val="20"/>
          <w:szCs w:val="20"/>
          <w:lang w:val="en-US" w:eastAsia="pt-BR"/>
        </w:rPr>
        <w:t xml:space="preserve">Legend: United States of America (USA); </w:t>
      </w:r>
      <w:r w:rsidRPr="009F01A3">
        <w:rPr>
          <w:rFonts w:ascii="Times New Roman" w:eastAsia="Calibri" w:hAnsi="Times New Roman" w:cs="Times New Roman"/>
          <w:bCs/>
          <w:color w:val="000000"/>
          <w:sz w:val="20"/>
          <w:szCs w:val="20"/>
          <w:lang w:val="en-US" w:eastAsia="pt-BR"/>
        </w:rPr>
        <w:t>United Kingdom (UK);</w:t>
      </w:r>
      <w:r w:rsidRPr="009F01A3">
        <w:rPr>
          <w:rFonts w:ascii="Times New Roman" w:eastAsia="Times New Roman" w:hAnsi="Times New Roman" w:cs="Times New Roman"/>
          <w:sz w:val="20"/>
          <w:szCs w:val="20"/>
          <w:lang w:val="en-US" w:eastAsia="pt-BR"/>
        </w:rPr>
        <w:t xml:space="preserve"> Not Informed (NI)</w:t>
      </w:r>
      <w:r w:rsidRPr="009F01A3">
        <w:rPr>
          <w:rFonts w:ascii="Times New Roman" w:eastAsia="Calibri" w:hAnsi="Times New Roman" w:cs="Times New Roman"/>
          <w:bCs/>
          <w:color w:val="000000"/>
          <w:sz w:val="20"/>
          <w:szCs w:val="20"/>
          <w:lang w:val="en-US" w:eastAsia="pt-BR"/>
        </w:rPr>
        <w:t xml:space="preserve">; </w:t>
      </w:r>
      <w:r w:rsidR="009F01A3" w:rsidRPr="009F01A3">
        <w:rPr>
          <w:rFonts w:ascii="Times New Roman" w:hAnsi="Times New Roman" w:cs="Times New Roman"/>
          <w:sz w:val="20"/>
          <w:szCs w:val="20"/>
          <w:lang w:val="en-US"/>
        </w:rPr>
        <w:t>Tuberculin skin test (TST); Interferon gamma release assay (IGRA); Not applicable (NA</w:t>
      </w:r>
      <w:proofErr w:type="gramStart"/>
      <w:r w:rsidR="009F01A3" w:rsidRPr="009F01A3">
        <w:rPr>
          <w:rFonts w:ascii="Times New Roman" w:hAnsi="Times New Roman" w:cs="Times New Roman"/>
          <w:sz w:val="20"/>
          <w:szCs w:val="20"/>
          <w:lang w:val="en-US"/>
        </w:rPr>
        <w:t>)</w:t>
      </w:r>
      <w:r w:rsidR="009F01A3" w:rsidRPr="009F01A3">
        <w:rPr>
          <w:rFonts w:ascii="Times New Roman" w:eastAsia="Calibri" w:hAnsi="Times New Roman" w:cs="Times New Roman"/>
          <w:bCs/>
          <w:color w:val="000000"/>
          <w:sz w:val="20"/>
          <w:szCs w:val="20"/>
          <w:lang w:val="en-US"/>
        </w:rPr>
        <w:t>.</w:t>
      </w:r>
      <w:r w:rsidRPr="009F01A3">
        <w:rPr>
          <w:rFonts w:ascii="Times New Roman" w:eastAsia="Calibri" w:hAnsi="Times New Roman" w:cs="Times New Roman"/>
          <w:bCs/>
          <w:color w:val="000000"/>
          <w:sz w:val="20"/>
          <w:szCs w:val="20"/>
          <w:lang w:val="en-US" w:eastAsia="pt-BR"/>
        </w:rPr>
        <w:t>*</w:t>
      </w:r>
      <w:proofErr w:type="gramEnd"/>
      <w:r w:rsidRPr="009F01A3">
        <w:rPr>
          <w:rFonts w:ascii="Times New Roman" w:eastAsia="Calibri" w:hAnsi="Times New Roman" w:cs="Times New Roman"/>
          <w:bCs/>
          <w:color w:val="000000"/>
          <w:sz w:val="20"/>
          <w:szCs w:val="20"/>
          <w:lang w:val="en-US" w:eastAsia="pt-BR"/>
        </w:rPr>
        <w:t>Population screened for LTBI</w:t>
      </w:r>
    </w:p>
    <w:p w:rsidR="004A0A10" w:rsidRPr="009F01A3" w:rsidRDefault="004A0A10" w:rsidP="004A0A10">
      <w:pPr>
        <w:spacing w:after="0" w:line="240" w:lineRule="auto"/>
        <w:rPr>
          <w:rFonts w:ascii="Times New Roman" w:eastAsia="Calibri" w:hAnsi="Times New Roman" w:cs="Times New Roman"/>
          <w:bCs/>
          <w:color w:val="000000"/>
          <w:sz w:val="20"/>
          <w:szCs w:val="20"/>
          <w:lang w:val="en-US" w:eastAsia="pt-BR"/>
        </w:rPr>
      </w:pPr>
      <w:r w:rsidRPr="009F01A3">
        <w:rPr>
          <w:rFonts w:ascii="Times New Roman" w:eastAsia="Calibri" w:hAnsi="Times New Roman" w:cs="Times New Roman"/>
          <w:bCs/>
          <w:color w:val="000000"/>
          <w:sz w:val="20"/>
          <w:szCs w:val="20"/>
          <w:lang w:val="en-US" w:eastAsia="pt-BR"/>
        </w:rPr>
        <w:t>Note: In the column Setting, “both” means that the study performed routine screening and symptomatic evaluation.</w:t>
      </w:r>
    </w:p>
    <w:p w:rsidR="008176DA" w:rsidRPr="004A0A10" w:rsidRDefault="008176DA">
      <w:pPr>
        <w:rPr>
          <w:lang w:val="en-US"/>
        </w:rPr>
      </w:pPr>
      <w:bookmarkStart w:id="0" w:name="_GoBack"/>
      <w:bookmarkEnd w:id="0"/>
    </w:p>
    <w:sectPr w:rsidR="008176DA" w:rsidRPr="004A0A10" w:rsidSect="004A0A10">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A10"/>
    <w:rsid w:val="00156143"/>
    <w:rsid w:val="001917F3"/>
    <w:rsid w:val="001B7968"/>
    <w:rsid w:val="00320BC3"/>
    <w:rsid w:val="004A0A10"/>
    <w:rsid w:val="008176DA"/>
    <w:rsid w:val="009C09C1"/>
    <w:rsid w:val="009F01A3"/>
    <w:rsid w:val="00AD6F15"/>
    <w:rsid w:val="00CB2808"/>
    <w:rsid w:val="00DC58F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B7CFE3-D634-4319-A34E-676AA329A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4A0A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5</Pages>
  <Words>23154</Words>
  <Characters>125034</Characters>
  <Application>Microsoft Office Word</Application>
  <DocSecurity>0</DocSecurity>
  <Lines>1041</Lines>
  <Paragraphs>295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Raquel Proença</dc:creator>
  <cp:keywords/>
  <dc:description/>
  <cp:lastModifiedBy>Raquel Proença</cp:lastModifiedBy>
  <cp:revision>9</cp:revision>
  <dcterms:created xsi:type="dcterms:W3CDTF">2019-05-17T20:11:00Z</dcterms:created>
  <dcterms:modified xsi:type="dcterms:W3CDTF">2019-06-26T23:23:00Z</dcterms:modified>
</cp:coreProperties>
</file>